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Pr>
        <w:spacing w:after="160"/>
        <w:jc w:val="center"/>
      </w:pPr>
      <w:r>
        <w:rPr>
          <w:rFonts w:ascii="Aptos Display" w:hAnsi="Aptos Display"/>
          <w:b/>
          <w:color w:val="192B3C"/>
          <w:sz w:val="56"/>
        </w:rPr>
        <w:t>Governance Spine &amp; Assurance Annexes</w:t>
      </w:r>
    </w:p>
    <w:p>
      <w:pPr>
        <w:spacing w:after="360"/>
        <w:jc w:val="center"/>
      </w:pPr>
      <w:r>
        <w:rPr>
          <w:rFonts w:ascii="Aptos" w:hAnsi="Aptos"/>
          <w:color w:val="475467"/>
          <w:sz w:val="26"/>
        </w:rPr>
        <w:t>Institutional assurance pack for sovereignty, identity, MRV attachment, audit reconstruction, and deployment isolation</w:t>
      </w:r>
    </w:p>
    <w:tbl>
      <w:tblPr>
        <w:tblStyle w:val="TableGrid"/>
        <w:tblW w:type="auto" w:w="0"/>
        <w:jc w:val="center"/>
        <w:tblLook w:firstColumn="1" w:firstRow="1" w:lastColumn="0" w:lastRow="0" w:noHBand="0" w:noVBand="1" w:val="04A0"/>
      </w:tblPr>
      <w:tblGrid>
        <w:gridCol w:w="4917"/>
        <w:gridCol w:w="4917"/>
      </w:tblGrid>
      <w:tr>
        <w:tc>
          <w:tcPr>
            <w:tcW w:type="dxa" w:w="4917"/>
            <w:tcBorders>
              <w:top w:sz="3" w:val="single" w:color="D9E2EC"/>
              <w:left w:sz="3" w:val="single" w:color="D9E2EC"/>
              <w:bottom w:sz="3" w:val="single" w:color="D9E2EC"/>
              <w:right w:sz="3" w:val="single" w:color="D9E2EC"/>
            </w:tcBorders>
            <w:vAlign w:val="center"/>
            <w:shd w:fill="EEF4F9"/>
          </w:tcPr>
          <w:p>
            <w:pPr>
              <w:spacing w:after="0" w:line="252" w:lineRule="auto"/>
              <w:jc w:val="left"/>
            </w:pPr>
            <w:r/>
            <w:r>
              <w:rPr>
                <w:b/>
                <w:color w:val="1F4E79"/>
                <w:sz w:val="18"/>
              </w:rPr>
              <w:t>Prepared for</w:t>
            </w:r>
          </w:p>
        </w:tc>
        <w:tc>
          <w:tcPr>
            <w:tcW w:type="dxa" w:w="4917"/>
            <w:tcBorders>
              <w:top w:sz="3" w:val="single" w:color="D9E2EC"/>
              <w:left w:sz="3" w:val="single" w:color="D9E2EC"/>
              <w:bottom w:sz="3" w:val="single" w:color="D9E2EC"/>
              <w:right w:sz="3" w:val="single" w:color="D9E2EC"/>
            </w:tcBorders>
            <w:vAlign w:val="center"/>
          </w:tcPr>
          <w:p>
            <w:pPr>
              <w:spacing w:after="0" w:line="252" w:lineRule="auto"/>
              <w:jc w:val="left"/>
            </w:pPr>
            <w:r/>
            <w:r>
              <w:rPr>
                <w:b w:val="0"/>
                <w:sz w:val="18"/>
              </w:rPr>
              <w:t>Institutional reviewers, sovereign programmes, donors, DFIs, climate funds, auditors, and deployment authorities</w:t>
            </w:r>
          </w:p>
        </w:tc>
      </w:tr>
      <w:tr>
        <w:tc>
          <w:tcPr>
            <w:tcW w:type="dxa" w:w="4917"/>
            <w:tcBorders>
              <w:top w:sz="3" w:val="single" w:color="D9E2EC"/>
              <w:left w:sz="3" w:val="single" w:color="D9E2EC"/>
              <w:bottom w:sz="3" w:val="single" w:color="D9E2EC"/>
              <w:right w:sz="3" w:val="single" w:color="D9E2EC"/>
            </w:tcBorders>
            <w:vAlign w:val="center"/>
            <w:shd w:fill="EEF4F9"/>
          </w:tcPr>
          <w:p>
            <w:pPr>
              <w:spacing w:after="0" w:line="252" w:lineRule="auto"/>
              <w:jc w:val="left"/>
            </w:pPr>
            <w:r/>
            <w:r>
              <w:rPr>
                <w:b/>
                <w:color w:val="1F4E79"/>
                <w:sz w:val="18"/>
              </w:rPr>
              <w:t>Prepared by</w:t>
            </w:r>
          </w:p>
        </w:tc>
        <w:tc>
          <w:tcPr>
            <w:tcW w:type="dxa" w:w="4917"/>
            <w:tcBorders>
              <w:top w:sz="3" w:val="single" w:color="D9E2EC"/>
              <w:left w:sz="3" w:val="single" w:color="D9E2EC"/>
              <w:bottom w:sz="3" w:val="single" w:color="D9E2EC"/>
              <w:right w:sz="3" w:val="single" w:color="D9E2EC"/>
            </w:tcBorders>
            <w:vAlign w:val="center"/>
          </w:tcPr>
          <w:p>
            <w:pPr>
              <w:spacing w:after="0" w:line="252" w:lineRule="auto"/>
              <w:jc w:val="left"/>
            </w:pPr>
            <w:r/>
            <w:r>
              <w:rPr>
                <w:b w:val="0"/>
                <w:sz w:val="18"/>
              </w:rPr>
              <w:t>Terra Vita Global B.V. / Terra Vita Hub</w:t>
            </w:r>
          </w:p>
        </w:tc>
      </w:tr>
      <w:tr>
        <w:tc>
          <w:tcPr>
            <w:tcW w:type="dxa" w:w="4917"/>
            <w:tcBorders>
              <w:top w:sz="3" w:val="single" w:color="D9E2EC"/>
              <w:left w:sz="3" w:val="single" w:color="D9E2EC"/>
              <w:bottom w:sz="3" w:val="single" w:color="D9E2EC"/>
              <w:right w:sz="3" w:val="single" w:color="D9E2EC"/>
            </w:tcBorders>
            <w:vAlign w:val="center"/>
            <w:shd w:fill="EEF4F9"/>
          </w:tcPr>
          <w:p>
            <w:pPr>
              <w:spacing w:after="0" w:line="252" w:lineRule="auto"/>
              <w:jc w:val="left"/>
            </w:pPr>
            <w:r/>
            <w:r>
              <w:rPr>
                <w:b/>
                <w:color w:val="1F4E79"/>
                <w:sz w:val="18"/>
              </w:rPr>
              <w:t>Document posture</w:t>
            </w:r>
          </w:p>
        </w:tc>
        <w:tc>
          <w:tcPr>
            <w:tcW w:type="dxa" w:w="4917"/>
            <w:tcBorders>
              <w:top w:sz="3" w:val="single" w:color="D9E2EC"/>
              <w:left w:sz="3" w:val="single" w:color="D9E2EC"/>
              <w:bottom w:sz="3" w:val="single" w:color="D9E2EC"/>
              <w:right w:sz="3" w:val="single" w:color="D9E2EC"/>
            </w:tcBorders>
            <w:vAlign w:val="center"/>
          </w:tcPr>
          <w:p>
            <w:pPr>
              <w:spacing w:after="0" w:line="252" w:lineRule="auto"/>
              <w:jc w:val="left"/>
            </w:pPr>
            <w:r/>
            <w:r>
              <w:rPr>
                <w:b w:val="0"/>
                <w:sz w:val="18"/>
              </w:rPr>
              <w:t>Deployment-agnostic. Configuration-driven. Confidential when populated with live institutional or programme data.</w:t>
            </w:r>
          </w:p>
        </w:tc>
      </w:tr>
      <w:tr>
        <w:tc>
          <w:tcPr>
            <w:tcW w:type="dxa" w:w="4917"/>
            <w:tcBorders>
              <w:top w:sz="3" w:val="single" w:color="D9E2EC"/>
              <w:left w:sz="3" w:val="single" w:color="D9E2EC"/>
              <w:bottom w:sz="3" w:val="single" w:color="D9E2EC"/>
              <w:right w:sz="3" w:val="single" w:color="D9E2EC"/>
            </w:tcBorders>
            <w:vAlign w:val="center"/>
            <w:shd w:fill="EEF4F9"/>
          </w:tcPr>
          <w:p>
            <w:pPr>
              <w:spacing w:after="0" w:line="252" w:lineRule="auto"/>
              <w:jc w:val="left"/>
            </w:pPr>
            <w:r/>
            <w:r>
              <w:rPr>
                <w:b/>
                <w:color w:val="1F4E79"/>
                <w:sz w:val="18"/>
              </w:rPr>
              <w:t>Version posture</w:t>
            </w:r>
          </w:p>
        </w:tc>
        <w:tc>
          <w:tcPr>
            <w:tcW w:type="dxa" w:w="4917"/>
            <w:tcBorders>
              <w:top w:sz="3" w:val="single" w:color="D9E2EC"/>
              <w:left w:sz="3" w:val="single" w:color="D9E2EC"/>
              <w:bottom w:sz="3" w:val="single" w:color="D9E2EC"/>
              <w:right w:sz="3" w:val="single" w:color="D9E2EC"/>
            </w:tcBorders>
            <w:vAlign w:val="center"/>
          </w:tcPr>
          <w:p>
            <w:pPr>
              <w:spacing w:after="0" w:line="252" w:lineRule="auto"/>
              <w:jc w:val="left"/>
            </w:pPr>
            <w:r/>
            <w:r>
              <w:rPr>
                <w:b w:val="0"/>
                <w:sz w:val="18"/>
              </w:rPr>
              <w:t>Institutional draft for diligence, implementation scoping, and assurance review</w:t>
            </w:r>
          </w:p>
        </w:tc>
      </w:tr>
      <w:tr>
        <w:tc>
          <w:tcPr>
            <w:tcW w:type="dxa" w:w="4917"/>
            <w:tcBorders>
              <w:top w:sz="3" w:val="single" w:color="D9E2EC"/>
              <w:left w:sz="3" w:val="single" w:color="D9E2EC"/>
              <w:bottom w:sz="3" w:val="single" w:color="D9E2EC"/>
              <w:right w:sz="3" w:val="single" w:color="D9E2EC"/>
            </w:tcBorders>
            <w:vAlign w:val="center"/>
            <w:shd w:fill="EEF4F9"/>
          </w:tcPr>
          <w:p>
            <w:pPr>
              <w:spacing w:after="0" w:line="252" w:lineRule="auto"/>
              <w:jc w:val="left"/>
            </w:pPr>
            <w:r/>
            <w:r>
              <w:rPr>
                <w:b/>
                <w:color w:val="1F4E79"/>
                <w:sz w:val="18"/>
              </w:rPr>
              <w:t>Date</w:t>
            </w:r>
          </w:p>
        </w:tc>
        <w:tc>
          <w:tcPr>
            <w:tcW w:type="dxa" w:w="4917"/>
            <w:tcBorders>
              <w:top w:sz="3" w:val="single" w:color="D9E2EC"/>
              <w:left w:sz="3" w:val="single" w:color="D9E2EC"/>
              <w:bottom w:sz="3" w:val="single" w:color="D9E2EC"/>
              <w:right w:sz="3" w:val="single" w:color="D9E2EC"/>
            </w:tcBorders>
            <w:vAlign w:val="center"/>
          </w:tcPr>
          <w:p>
            <w:pPr>
              <w:spacing w:after="0" w:line="252" w:lineRule="auto"/>
              <w:jc w:val="left"/>
            </w:pPr>
            <w:r/>
            <w:r>
              <w:rPr>
                <w:b w:val="0"/>
                <w:sz w:val="18"/>
              </w:rPr>
              <w:t>5 May 2026</w:t>
            </w:r>
          </w:p>
        </w:tc>
      </w:tr>
    </w:tbl>
    <w:tbl>
      <w:tblPr>
        <w:tblW w:type="auto" w:w="0"/>
        <w:jc w:val="center"/>
        <w:tblLayout w:type="autofit"/>
        <w:tblLook w:firstColumn="1" w:firstRow="1" w:lastColumn="0" w:lastRow="0" w:noHBand="0" w:noVBand="1" w:val="04A0"/>
      </w:tblPr>
      <w:tblGrid>
        <w:gridCol w:w="9835"/>
      </w:tblGrid>
      <w:tr>
        <w:tc>
          <w:tcPr>
            <w:tcW w:type="dxa" w:w="9835"/>
            <w:shd w:fill="FFF4E6"/>
            <w:tcBorders>
              <w:top w:sz="8" w:val="single" w:color="C55A11"/>
              <w:left w:sz="8" w:val="single" w:color="C55A11"/>
              <w:bottom w:sz="8" w:val="single" w:color="C55A11"/>
              <w:right w:sz="8" w:val="single" w:color="C55A11"/>
            </w:tcBorders>
            <w:vAlign w:val="center"/>
          </w:tcPr>
          <w:p>
            <w:pPr>
              <w:spacing w:after="60"/>
            </w:pPr>
            <w:r>
              <w:rPr>
                <w:b/>
                <w:color w:val="C55A11"/>
                <w:sz w:val="20"/>
              </w:rPr>
              <w:t>Authority boundary</w:t>
            </w:r>
          </w:p>
          <w:p>
            <w:pPr>
              <w:spacing w:after="0"/>
            </w:pPr>
            <w:r>
              <w:rPr>
                <w:color w:val="273442"/>
                <w:sz w:val="18"/>
              </w:rPr>
              <w:t>This annex pack describes governance and assurance controls. It does not replace legal advice, national MRV authority, statutory approval, fiduciary judgement, financial approval, or sovereign decision-making.</w:t>
            </w:r>
          </w:p>
        </w:tc>
      </w:tr>
    </w:tbl>
    <w:p>
      <w:pPr>
        <w:spacing w:after="0"/>
      </w:pPr>
    </w:p>
    <w:p>
      <w:pPr>
        <w:spacing w:before="320"/>
        <w:jc w:val="center"/>
      </w:pPr>
      <w:r>
        <w:rPr>
          <w:b/>
          <w:color w:val="192B3C"/>
          <w:sz w:val="19"/>
        </w:rPr>
        <w:t>Controlled decision environment | Evidence integrity | Reviewer accountability | Audit reconstruction</w:t>
      </w:r>
    </w:p>
    <w:p>
      <w:r>
        <w:br w:type="page"/>
      </w:r>
    </w:p>
    <w:p>
      <w:pPr>
        <w:pStyle w:val="Heading1"/>
        <w:spacing w:before="240" w:after="120"/>
      </w:pPr>
      <w:r>
        <w:rPr>
          <w:b/>
          <w:color w:val="1F4E79"/>
          <w:sz w:val="32"/>
        </w:rPr>
        <w:t>1</w:t>
      </w:r>
      <w:r>
        <w:rPr>
          <w:b/>
          <w:color w:val="192B3C"/>
          <w:sz w:val="32"/>
        </w:rPr>
        <w:t xml:space="preserve"> — Executive Assurance Overview</w:t>
      </w:r>
    </w:p>
    <w:p>
      <w:pPr>
        <w:pStyle w:val="BodyText"/>
        <w:spacing w:after="200"/>
      </w:pPr>
      <w:r>
        <w:t>Terra Vita Hub is designed as a controlled governance and decision environment. It connects identity, evidence, MRV attachments, routing logic, assurance checks, export controls, and audit reconstruction into a single governed operating spine.</w:t>
      </w:r>
    </w:p>
    <w:p>
      <w:pPr>
        <w:pStyle w:val="BodyText"/>
        <w:spacing w:after="90"/>
      </w:pPr>
      <w:r>
        <w:t>This annex pack defines the institutional control posture for deployments that require sovereignty, data-residency, donor review, DFI diligence, national programme oversight, and auditable reviewer accountability. The controls are deployment-agnostic: each deployment configures its own jurisdictional, hosting, retention, MRV, role, export, and audit requirements without weakening the governance spine.</w:t>
      </w:r>
    </w:p>
    <w:p>
      <w:pPr>
        <w:pStyle w:val="BodyText"/>
        <w:spacing w:after="90"/>
      </w:pPr>
      <w:r>
        <w:t>The purpose is to give institutional reviewers a clear answer to five diligence questions:</w:t>
      </w:r>
    </w:p>
    <w:p>
      <w:pPr>
        <w:pStyle w:val="ListNumber"/>
        <w:spacing w:after="50"/>
      </w:pPr>
      <w:r>
        <w:t>Where is the data allowed to reside, and under whose authority is it controlled?</w:t>
      </w:r>
    </w:p>
    <w:p>
      <w:pPr>
        <w:pStyle w:val="ListNumber"/>
        <w:spacing w:after="50"/>
      </w:pPr>
      <w:r>
        <w:t>Who is allowed to see, review, approve, escalate, export, or verify evidence?</w:t>
      </w:r>
    </w:p>
    <w:p>
      <w:pPr>
        <w:pStyle w:val="ListNumber"/>
        <w:spacing w:after="50"/>
      </w:pPr>
      <w:r>
        <w:t>How can every reviewer action, evidence state, override, and export be reconstructed?</w:t>
      </w:r>
    </w:p>
    <w:p>
      <w:pPr>
        <w:pStyle w:val="ListNumber"/>
        <w:spacing w:after="50"/>
      </w:pPr>
      <w:r>
        <w:t>How are MRV artefacts attached and governed without Terra Vita replacing national or sectoral MRV authority?</w:t>
      </w:r>
    </w:p>
    <w:p>
      <w:pPr>
        <w:pStyle w:val="ListNumber"/>
        <w:spacing w:after="50"/>
      </w:pPr>
      <w:r>
        <w:t>How is each deployment isolated so that no cross-tenant visibility, inference, or data movement can occur?</w:t>
      </w:r>
    </w:p>
    <w:tbl>
      <w:tblPr>
        <w:tblW w:type="auto" w:w="0"/>
        <w:jc w:val="center"/>
        <w:tblLayout w:type="autofit"/>
        <w:tblLook w:firstColumn="1" w:firstRow="1" w:lastColumn="0" w:lastRow="0" w:noHBand="0" w:noVBand="1" w:val="04A0"/>
      </w:tblPr>
      <w:tblGrid>
        <w:gridCol w:w="9835"/>
      </w:tblGrid>
      <w:tr>
        <w:tc>
          <w:tcPr>
            <w:tcW w:type="dxa" w:w="9835"/>
            <w:shd w:fill="EAF2F8"/>
            <w:tcBorders>
              <w:top w:sz="8" w:val="single" w:color="1F4E79"/>
              <w:left w:sz="8" w:val="single" w:color="1F4E79"/>
              <w:bottom w:sz="8" w:val="single" w:color="1F4E79"/>
              <w:right w:sz="8" w:val="single" w:color="1F4E79"/>
            </w:tcBorders>
            <w:vAlign w:val="center"/>
          </w:tcPr>
          <w:p>
            <w:pPr>
              <w:spacing w:after="60"/>
            </w:pPr>
            <w:r>
              <w:rPr>
                <w:b/>
                <w:color w:val="1F4E79"/>
                <w:sz w:val="20"/>
              </w:rPr>
              <w:t>Institutional position</w:t>
            </w:r>
          </w:p>
          <w:p>
            <w:pPr>
              <w:spacing w:after="0"/>
            </w:pPr>
            <w:r>
              <w:rPr>
                <w:color w:val="273442"/>
                <w:sz w:val="18"/>
              </w:rPr>
              <w:t>Terra Vita Hub does not operate as a generic dashboard. It is a governed environment for evidence-controlled, role-bound, reviewable and reconstructable institutional workflows.</w:t>
            </w:r>
          </w:p>
        </w:tc>
      </w:tr>
    </w:tbl>
    <w:p>
      <w:pPr>
        <w:spacing w:after="0"/>
      </w:pPr>
    </w:p>
    <w:p>
      <w:pPr>
        <w:pStyle w:val="Heading2"/>
        <w:spacing w:before="140" w:after="60"/>
      </w:pPr>
      <w:r>
        <w:t>1.1 Governance invariants</w:t>
      </w:r>
    </w:p>
    <w:p>
      <w:pPr>
        <w:pStyle w:val="BodyText"/>
        <w:spacing w:after="90"/>
      </w:pPr>
      <w:r>
        <w:t>The following controls are non-negotiable across every deployment, while the surrounding configuration remains jurisdiction-specific:</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43B53"/>
          </w:tcPr>
          <w:p>
            <w:pPr>
              <w:spacing w:after="0" w:line="252" w:lineRule="auto"/>
              <w:jc w:val="left"/>
            </w:pPr>
            <w:r/>
            <w:r>
              <w:rPr>
                <w:b/>
                <w:color w:val="FFFFFF"/>
                <w:sz w:val="16"/>
              </w:rPr>
              <w:t>Invariant</w:t>
            </w:r>
          </w:p>
        </w:tc>
        <w:tc>
          <w:tcPr>
            <w:tcW w:type="dxa" w:w="3278"/>
            <w:shd w:fill="243B53"/>
          </w:tcPr>
          <w:p>
            <w:pPr>
              <w:spacing w:after="0" w:line="252" w:lineRule="auto"/>
              <w:jc w:val="left"/>
            </w:pPr>
            <w:r/>
            <w:r>
              <w:rPr>
                <w:b/>
                <w:color w:val="FFFFFF"/>
                <w:sz w:val="16"/>
              </w:rPr>
              <w:t>Meaning</w:t>
            </w:r>
          </w:p>
        </w:tc>
        <w:tc>
          <w:tcPr>
            <w:tcW w:type="dxa" w:w="3278"/>
            <w:shd w:fill="243B53"/>
          </w:tcPr>
          <w:p>
            <w:pPr>
              <w:spacing w:after="0" w:line="252" w:lineRule="auto"/>
              <w:jc w:val="left"/>
            </w:pPr>
            <w:r/>
            <w:r>
              <w:rPr>
                <w:b/>
                <w:color w:val="FFFFFF"/>
                <w:sz w:val="16"/>
              </w:rPr>
              <w:t>Institutional assurance outcome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binding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and privileged actions are tied to verified accounts, roles, and attribution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No material action is anonymous or non-repudiable.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lineage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Documents, MRV artefacts, spatial records, observations, and verification objects preserve source metadata and state history.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can be traced from intake to decision.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Governance routing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Conditions, escalations, override pathways, approval limits, and export rules are enforced by role and programme context.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Decision flows remain predictable and reviewable.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Assurance and verification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Thresholds, assurance evidence, reviewer findings, and MRV influences are attached to programme records.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Diligence does not sit outside the operating record.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reconstruction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Actions, states, overrides, exports, and conditions are logged for replay and oversight.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Internal audit, donor review, DFI compliance, and sovereign oversight can reconstruct decisions.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Residency and export governance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Hosting, backup, logging, audit, retention, and export posture follow deployment configuration.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Jurisdictional constraints are visible and enforceable.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isolation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Each deployment is isolated at tenancy, storage, authentication, audit, integration, and export boundaries.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No cross-deployment inference or visibility is permitted.</w:t>
            </w:r>
          </w:p>
        </w:tc>
      </w:tr>
    </w:tbl>
    <w:p>
      <w:pPr>
        <w:spacing w:after="20"/>
      </w:pPr>
    </w:p>
    <w:p>
      <w:pPr>
        <w:pStyle w:val="Heading2"/>
        <w:spacing w:before="140" w:after="60"/>
      </w:pPr>
      <w:r>
        <w:t>1.2 Annex structure</w:t>
      </w:r>
    </w:p>
    <w:p>
      <w:pPr>
        <w:pStyle w:val="BodyText"/>
        <w:spacing w:after="90"/>
      </w:pPr>
      <w:r>
        <w:t>The diagram on the following page maps the governance spine to the assurance annexes. The diagram belongs at the beginning of the pack because it shows how the five annexes attach to the control spine before each annex is reviewed in detail.</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1F4E79"/>
          </w:tcPr>
          <w:p>
            <w:pPr>
              <w:spacing w:after="0" w:line="252" w:lineRule="auto"/>
              <w:jc w:val="left"/>
            </w:pPr>
            <w:r/>
            <w:r>
              <w:rPr>
                <w:b/>
                <w:color w:val="FFFFFF"/>
                <w:sz w:val="16"/>
              </w:rPr>
              <w:t>Annex</w:t>
            </w:r>
          </w:p>
        </w:tc>
        <w:tc>
          <w:tcPr>
            <w:tcW w:type="dxa" w:w="3278"/>
            <w:shd w:fill="1F4E79"/>
          </w:tcPr>
          <w:p>
            <w:pPr>
              <w:spacing w:after="0" w:line="252" w:lineRule="auto"/>
              <w:jc w:val="left"/>
            </w:pPr>
            <w:r/>
            <w:r>
              <w:rPr>
                <w:b/>
                <w:color w:val="FFFFFF"/>
                <w:sz w:val="16"/>
              </w:rPr>
              <w:t>Control domain</w:t>
            </w:r>
          </w:p>
        </w:tc>
        <w:tc>
          <w:tcPr>
            <w:tcW w:type="dxa" w:w="3278"/>
            <w:shd w:fill="1F4E79"/>
          </w:tcPr>
          <w:p>
            <w:pPr>
              <w:spacing w:after="0" w:line="252" w:lineRule="auto"/>
              <w:jc w:val="left"/>
            </w:pPr>
            <w:r/>
            <w:r>
              <w:rPr>
                <w:b/>
                <w:color w:val="FFFFFF"/>
                <w:sz w:val="16"/>
              </w:rPr>
              <w:t>Primary reviewer concern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1</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Data Sovereignty &amp; Residency Posture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Where data resides, how exports are controlled, and how jurisdictional isolation is maintained.</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2</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&amp; Access Assurance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Who can access, review, approve, export, escalate, or administer deployment records.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3</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&amp; RLS Assurance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How row-level security, immutable logs, and reconstruction guarantees are enforced.</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4</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Attachment Rules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How MRV artefacts are attached, preserved, made reviewer-visible, and connected to decisions.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5</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Architecture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How tenancy, integration, infrastructure, audit, and export boundaries are isolated.</w:t>
            </w:r>
          </w:p>
        </w:tc>
      </w:tr>
    </w:tbl>
    <w:p>
      <w:pPr>
        <w:spacing w:after="20"/>
      </w:pPr>
    </w:p>
    <w:p>
      <w:pPr>
        <w:sectPr>
          <w:headerReference w:type="default" r:id="rId9"/>
          <w:footerReference w:type="default" r:id="rId10"/>
          <w:pgSz w:w="11909" w:h="16834"/>
          <w:pgMar w:top="936" w:right="1037" w:bottom="936" w:left="1037" w:header="504" w:footer="504" w:gutter="0"/>
          <w:cols w:space="720"/>
          <w:docGrid w:linePitch="360"/>
        </w:sectPr>
      </w:pPr>
    </w:p>
    <w:p>
      <w:pPr>
        <w:spacing w:after="80"/>
        <w:jc w:val="center"/>
      </w:pPr>
      <w:r>
        <w:drawing>
          <wp:inline xmlns:a="http://schemas.openxmlformats.org/drawingml/2006/main" xmlns:pic="http://schemas.openxmlformats.org/drawingml/2006/picture">
            <wp:extent cx="8641080" cy="5759314"/>
            <wp:docPr id="1" name="Picture 1"/>
            <wp:cNvGraphicFramePr>
              <a:graphicFrameLocks noChangeAspect="1"/>
            </wp:cNvGraphicFramePr>
            <a:graphic>
              <a:graphicData uri="http://schemas.openxmlformats.org/drawingml/2006/picture">
                <pic:pic>
                  <pic:nvPicPr>
                    <pic:cNvPr id="0" name="Copilot_20260505_101728.png"/>
                    <pic:cNvPicPr/>
                  </pic:nvPicPr>
                  <pic:blipFill>
                    <a:blip r:embed="rId13"/>
                    <a:stretch>
                      <a:fillRect/>
                    </a:stretch>
                  </pic:blipFill>
                  <pic:spPr>
                    <a:xfrm>
                      <a:off x="0" y="0"/>
                      <a:ext cx="8641080" cy="5759314"/>
                    </a:xfrm>
                    <a:prstGeom prst="rect"/>
                  </pic:spPr>
                </pic:pic>
              </a:graphicData>
            </a:graphic>
          </wp:inline>
        </w:drawing>
      </w:r>
    </w:p>
    <w:p>
      <w:pPr>
        <w:spacing w:before="40" w:after="0"/>
        <w:jc w:val="center"/>
      </w:pPr>
      <w:r>
        <w:rPr>
          <w:i/>
          <w:color w:val="5E6C7A"/>
          <w:sz w:val="16"/>
        </w:rPr>
        <w:t>Figure 1. Governance Spine &amp; Assurance Annexes - overview map for institutional reviewers before the annex-by-annex control review.</w:t>
      </w:r>
    </w:p>
    <w:p>
      <w:pPr>
        <w:sectPr>
          <w:headerReference w:type="default" r:id="rId11"/>
          <w:footerReference w:type="default" r:id="rId12"/>
          <w:pgSz w:w="16834" w:h="11909" w:orient="landscape"/>
          <w:pgMar w:top="792" w:right="792" w:bottom="648" w:left="792" w:header="504" w:footer="504" w:gutter="0"/>
          <w:cols w:space="720"/>
          <w:docGrid w:linePitch="360"/>
        </w:sectPr>
      </w:pPr>
    </w:p>
    <w:p>
      <w:pPr>
        <w:pStyle w:val="Heading1"/>
        <w:spacing w:before="240" w:after="120"/>
      </w:pPr>
      <w:r>
        <w:rPr>
          <w:b/>
          <w:color w:val="2F3A45"/>
          <w:sz w:val="32"/>
        </w:rPr>
        <w:t>ANNEX 1</w:t>
      </w:r>
      <w:r>
        <w:rPr>
          <w:b/>
          <w:color w:val="192B3C"/>
          <w:sz w:val="32"/>
        </w:rPr>
        <w:t xml:space="preserve"> — Data Sovereignty &amp; Residency Posture</w:t>
      </w:r>
    </w:p>
    <w:p>
      <w:pPr>
        <w:pStyle w:val="BodyText"/>
        <w:spacing w:after="200"/>
      </w:pPr>
      <w:r>
        <w:t>Institutional, deployment-agnostic, configuration-driven controls for hosting, residency, export, retention, deletion, and jurisdictional isolation.</w:t>
      </w:r>
    </w:p>
    <w:tbl>
      <w:tblPr>
        <w:tblW w:type="auto" w:w="0"/>
        <w:jc w:val="center"/>
        <w:tblLayout w:type="autofit"/>
        <w:tblLook w:firstColumn="1" w:firstRow="1" w:lastColumn="0" w:lastRow="0" w:noHBand="0" w:noVBand="1" w:val="04A0"/>
      </w:tblPr>
      <w:tblGrid>
        <w:gridCol w:w="9835"/>
      </w:tblGrid>
      <w:tr>
        <w:tc>
          <w:tcPr>
            <w:tcW w:type="dxa" w:w="9835"/>
            <w:shd w:fill="EFF3F6"/>
            <w:tcBorders>
              <w:top w:sz="8" w:val="single" w:color="2F3A45"/>
              <w:left w:sz="8" w:val="single" w:color="2F3A45"/>
              <w:bottom w:sz="8" w:val="single" w:color="2F3A45"/>
              <w:right w:sz="8" w:val="single" w:color="2F3A45"/>
            </w:tcBorders>
            <w:vAlign w:val="center"/>
          </w:tcPr>
          <w:p>
            <w:pPr>
              <w:spacing w:after="60"/>
            </w:pPr>
            <w:r>
              <w:rPr>
                <w:b/>
                <w:color w:val="2F3A45"/>
                <w:sz w:val="20"/>
              </w:rPr>
              <w:t>Assurance objective</w:t>
            </w:r>
          </w:p>
          <w:p>
            <w:pPr>
              <w:spacing w:after="0"/>
            </w:pPr>
            <w:r>
              <w:rPr>
                <w:color w:val="273442"/>
                <w:sz w:val="18"/>
              </w:rPr>
              <w:t>Confirm that each deployment defines and enforces where data resides, how it may move, who may export it, how long it is retained, and which jurisdictional boundaries apply.</w:t>
            </w:r>
          </w:p>
        </w:tc>
      </w:tr>
    </w:tbl>
    <w:p>
      <w:pPr>
        <w:spacing w:after="0"/>
      </w:pPr>
    </w:p>
    <w:p>
      <w:pPr>
        <w:pStyle w:val="Heading2"/>
        <w:spacing w:before="140" w:after="60"/>
      </w:pPr>
      <w:r>
        <w:t>1. Sovereignty principle</w:t>
      </w:r>
    </w:p>
    <w:p>
      <w:pPr>
        <w:pStyle w:val="BodyText"/>
        <w:spacing w:after="90"/>
      </w:pPr>
      <w:r>
        <w:t>Terra Vita Hub treats data sovereignty as a governed configuration, not a fixed platform assumption. Each institutional deployment defines its own hosting region, residency constraints, export rules, retention posture, access boundaries, and jurisdictional isolation requirements. No cross-deployment data movement occurs unless it is explicitly configured, authorised, logged, and consistent with the deployment’s sovereignty posture.</w:t>
      </w:r>
    </w:p>
    <w:p>
      <w:pPr>
        <w:pStyle w:val="ListBullet"/>
        <w:spacing w:after="50"/>
        <w:ind w:left="259"/>
      </w:pPr>
      <w:r>
        <w:t>Hosting region: the country, region, sovereign cloud, or approved infrastructure zone where deployment data is hosted.</w:t>
      </w:r>
    </w:p>
    <w:p>
      <w:pPr>
        <w:pStyle w:val="ListBullet"/>
        <w:spacing w:after="50"/>
        <w:ind w:left="259"/>
      </w:pPr>
      <w:r>
        <w:t>Residency constraints: the rules that determine whether data, backups, logs, audit records, or exports may leave the defined region.</w:t>
      </w:r>
    </w:p>
    <w:p>
      <w:pPr>
        <w:pStyle w:val="ListBullet"/>
        <w:spacing w:after="50"/>
        <w:ind w:left="259"/>
      </w:pPr>
      <w:r>
        <w:t>Export rules: the conditions under which authorised users may generate, transmit, or share deployment records.</w:t>
      </w:r>
    </w:p>
    <w:p>
      <w:pPr>
        <w:pStyle w:val="ListBullet"/>
        <w:spacing w:after="50"/>
        <w:ind w:left="259"/>
      </w:pPr>
      <w:r>
        <w:t>Retention posture: the period and legal basis for maintaining programme, reviewer, evidence, audit, MRV, and export records.</w:t>
      </w:r>
    </w:p>
    <w:p>
      <w:pPr>
        <w:pStyle w:val="ListBullet"/>
        <w:spacing w:after="50"/>
        <w:ind w:left="259"/>
      </w:pPr>
      <w:r>
        <w:t>Access boundaries: role, organisation, programme, and reviewer limits governing visibility and action rights.</w:t>
      </w:r>
    </w:p>
    <w:p>
      <w:pPr>
        <w:pStyle w:val="ListBullet"/>
        <w:spacing w:after="50"/>
        <w:ind w:left="259"/>
      </w:pPr>
      <w:r>
        <w:t>Jurisdictional isolation: the technical and policy separation that prevents cross-deployment visibility, inference, or movement.</w:t>
      </w:r>
    </w:p>
    <w:p>
      <w:pPr>
        <w:pStyle w:val="Heading2"/>
        <w:spacing w:before="140" w:after="60"/>
      </w:pPr>
      <w:r>
        <w:t>2. Residency &amp; hosting</w:t>
      </w:r>
    </w:p>
    <w:p>
      <w:pPr>
        <w:pStyle w:val="BodyText"/>
        <w:spacing w:after="90"/>
      </w:pPr>
      <w:r>
        <w:t>Each deployment specifies a primary hosting region and, where required, an optional failover region. A failover region must meet the same sovereignty constraints as the primary region or be explicitly approved by the deployment authority. Data residency guarantees apply beyond storage: they must also apply to backups, logs, audit records, exported artefacts, and support access.</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2304"/>
            <w:shd w:fill="2F3A45"/>
          </w:tcPr>
          <w:p>
            <w:pPr>
              <w:spacing w:after="0" w:line="252" w:lineRule="auto"/>
              <w:jc w:val="left"/>
            </w:pPr>
            <w:r/>
            <w:r>
              <w:rPr>
                <w:b/>
                <w:color w:val="FFFFFF"/>
                <w:sz w:val="16"/>
              </w:rPr>
              <w:t>Configuration area</w:t>
            </w:r>
          </w:p>
        </w:tc>
        <w:tc>
          <w:tcPr>
            <w:tcW w:type="dxa" w:w="3816"/>
            <w:shd w:fill="2F3A45"/>
          </w:tcPr>
          <w:p>
            <w:pPr>
              <w:spacing w:after="0" w:line="252" w:lineRule="auto"/>
              <w:jc w:val="left"/>
            </w:pPr>
            <w:r/>
            <w:r>
              <w:rPr>
                <w:b/>
                <w:color w:val="FFFFFF"/>
                <w:sz w:val="16"/>
              </w:rPr>
              <w:t>Institutional requirement</w:t>
            </w:r>
          </w:p>
        </w:tc>
        <w:tc>
          <w:tcPr>
            <w:tcW w:type="dxa" w:w="3672"/>
            <w:shd w:fill="2F3A45"/>
          </w:tcPr>
          <w:p>
            <w:pPr>
              <w:spacing w:after="0" w:line="252" w:lineRule="auto"/>
              <w:jc w:val="left"/>
            </w:pPr>
            <w:r/>
            <w:r>
              <w:rPr>
                <w:b/>
                <w:color w:val="FFFFFF"/>
                <w:sz w:val="16"/>
              </w:rPr>
              <w:t>Assurance evidence</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Primary hosting region</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Specified by country, sovereign cloud, regional cloud, or approved data-centre jurisdiction.</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configuration record; hosting confirmation; infrastructure evidence.</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Failover region</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Optional and only permitted when it meets sovereignty and residency rules.</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Failover mapping; approval log; recovery test record.</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Storage layer</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data remains in approved storage boundaries.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Storage policy; bucket isolation evidence; access logs.</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Backup layer</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Backups follow the same residency constraints as production records.</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Backup configuration; PITR/retention evidence; restore test log.</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Logging layer</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Operational logs must not leak restricted data outside approved jurisdictions.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Logging configuration; redaction rules; log retention statement.</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layer</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records are kept within the deployment’s approved residency posture.</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schema record; audit retention rule; access trail.</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layer</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Exports are generated and released only under approved controls.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policy; export log; reviewer attribution record.</w:t>
            </w:r>
          </w:p>
        </w:tc>
      </w:tr>
    </w:tbl>
    <w:p>
      <w:pPr>
        <w:spacing w:after="20"/>
      </w:pPr>
    </w:p>
    <w:p>
      <w:pPr>
        <w:pStyle w:val="Heading2"/>
        <w:spacing w:before="140" w:after="60"/>
      </w:pPr>
      <w:r>
        <w:t>3. Export controls</w:t>
      </w:r>
    </w:p>
    <w:p>
      <w:pPr>
        <w:pStyle w:val="BodyText"/>
        <w:spacing w:after="90"/>
      </w:pPr>
      <w:r>
        <w:t>Exports are governed actions. They are not treated as ordinary downloads. Export permissions are bound to role, programme, jurisdiction, evidence state, approval route, and reviewer attribution. Exports cannot bypass RLS boundaries, residency constraints, programme isolation, or the export audit trail.</w:t>
      </w:r>
    </w:p>
    <w:p>
      <w:pPr>
        <w:pStyle w:val="ListBullet"/>
        <w:spacing w:after="50"/>
        <w:ind w:left="259"/>
      </w:pPr>
      <w:r>
        <w:t>Role-based permissions determine who may export specific classes of evidence, MRV artefacts, governance records, or decision packs.</w:t>
      </w:r>
    </w:p>
    <w:p>
      <w:pPr>
        <w:pStyle w:val="ListBullet"/>
        <w:spacing w:after="50"/>
        <w:ind w:left="259"/>
      </w:pPr>
      <w:r>
        <w:t>Programme-level export rules determine which artefacts are eligible for internal, donor, DFI, sovereign, or external review.</w:t>
      </w:r>
    </w:p>
    <w:p>
      <w:pPr>
        <w:pStyle w:val="ListBullet"/>
        <w:spacing w:after="50"/>
        <w:ind w:left="259"/>
      </w:pPr>
      <w:r>
        <w:t>Jurisdictional constraints determine whether an export may leave the hosting region or be shared with a reviewer in another jurisdiction.</w:t>
      </w:r>
    </w:p>
    <w:p>
      <w:pPr>
        <w:pStyle w:val="ListBullet"/>
        <w:spacing w:after="50"/>
        <w:ind w:left="259"/>
      </w:pPr>
      <w:r>
        <w:t>Immutable export logs record user identity, role, programme, export type, evidence scope, timestamp, and stated purpose.</w:t>
      </w:r>
    </w:p>
    <w:p>
      <w:pPr>
        <w:pStyle w:val="ListBullet"/>
        <w:spacing w:after="50"/>
        <w:ind w:left="259"/>
      </w:pPr>
      <w:r>
        <w:t>Reviewer attribution confirms who initiated, approved, or received the export.</w:t>
      </w:r>
    </w:p>
    <w:tbl>
      <w:tblPr>
        <w:tblW w:type="auto" w:w="0"/>
        <w:jc w:val="center"/>
        <w:tblLayout w:type="autofit"/>
        <w:tblLook w:firstColumn="1" w:firstRow="1" w:lastColumn="0" w:lastRow="0" w:noHBand="0" w:noVBand="1" w:val="04A0"/>
      </w:tblPr>
      <w:tblGrid>
        <w:gridCol w:w="9835"/>
      </w:tblGrid>
      <w:tr>
        <w:tc>
          <w:tcPr>
            <w:tcW w:type="dxa" w:w="9835"/>
            <w:shd w:fill="FDF2E9"/>
            <w:tcBorders>
              <w:top w:sz="8" w:val="single" w:color="C55A11"/>
              <w:left w:sz="8" w:val="single" w:color="C55A11"/>
              <w:bottom w:sz="8" w:val="single" w:color="C55A11"/>
              <w:right w:sz="8" w:val="single" w:color="C55A11"/>
            </w:tcBorders>
            <w:vAlign w:val="center"/>
          </w:tcPr>
          <w:p>
            <w:pPr>
              <w:spacing w:after="60"/>
            </w:pPr>
            <w:r>
              <w:rPr>
                <w:b/>
                <w:color w:val="C55A11"/>
                <w:sz w:val="20"/>
              </w:rPr>
              <w:t>Export assurance statement</w:t>
            </w:r>
          </w:p>
          <w:p>
            <w:pPr>
              <w:spacing w:after="0"/>
            </w:pPr>
            <w:r>
              <w:rPr>
                <w:color w:val="273442"/>
                <w:sz w:val="18"/>
              </w:rPr>
              <w:t>A user with broad platform permissions must still satisfy programme, role, residency, and audit controls before an export is permitted.</w:t>
            </w:r>
          </w:p>
        </w:tc>
      </w:tr>
    </w:tbl>
    <w:p>
      <w:pPr>
        <w:spacing w:after="0"/>
      </w:pPr>
    </w:p>
    <w:p>
      <w:pPr>
        <w:pStyle w:val="Heading2"/>
        <w:spacing w:before="140" w:after="60"/>
      </w:pPr>
      <w:r>
        <w:t>4. Retention &amp; deletion</w:t>
      </w:r>
    </w:p>
    <w:p>
      <w:pPr>
        <w:pStyle w:val="BodyText"/>
        <w:spacing w:after="90"/>
      </w:pPr>
      <w:r>
        <w:t>Retention is configurable per deployment and should be approved by the deployment authority before live programme records are created. Deletion must follow jurisdictional requirements, programme-specific rules, and immutable deletion logs. Where audit immutability is required, deletion may be represented as a governed state change rather than physical destruction of the audit record.</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F3A45"/>
          </w:tcPr>
          <w:p>
            <w:pPr>
              <w:spacing w:after="0" w:line="252" w:lineRule="auto"/>
              <w:jc w:val="left"/>
            </w:pPr>
            <w:r/>
            <w:r>
              <w:rPr>
                <w:b/>
                <w:color w:val="FFFFFF"/>
                <w:sz w:val="16"/>
              </w:rPr>
              <w:t>Record category</w:t>
            </w:r>
          </w:p>
        </w:tc>
        <w:tc>
          <w:tcPr>
            <w:tcW w:type="dxa" w:w="3278"/>
            <w:shd w:fill="2F3A45"/>
          </w:tcPr>
          <w:p>
            <w:pPr>
              <w:spacing w:after="0" w:line="252" w:lineRule="auto"/>
              <w:jc w:val="left"/>
            </w:pPr>
            <w:r/>
            <w:r>
              <w:rPr>
                <w:b/>
                <w:color w:val="FFFFFF"/>
                <w:sz w:val="16"/>
              </w:rPr>
              <w:t>Retention posture</w:t>
            </w:r>
          </w:p>
        </w:tc>
        <w:tc>
          <w:tcPr>
            <w:tcW w:type="dxa" w:w="3278"/>
            <w:shd w:fill="2F3A45"/>
          </w:tcPr>
          <w:p>
            <w:pPr>
              <w:spacing w:after="0" w:line="252" w:lineRule="auto"/>
              <w:jc w:val="left"/>
            </w:pPr>
            <w:r/>
            <w:r>
              <w:rPr>
                <w:b/>
                <w:color w:val="FFFFFF"/>
                <w:sz w:val="16"/>
              </w:rPr>
              <w:t>Deletion posture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records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according to programme mandate, donor requirements, and local law.</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Deletion or archival requires programme authority and audit entry.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records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to preserve decision accountability and non-repudiation.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actions remain reconstructable even after personnel changes.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records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according to evidentiary, MRV, finance, safeguards, and audit requirements.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Deletion requires lineage-preserving event log.</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artefacts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according to methodology, verification, and reporting obligations.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Deletion cannot break decision chain or threshold history.</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under immutable audit policy and oversight requirements.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Append-only posture; deletion handled as exceptional governed event.</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logs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Retained to evidence transmission, recipient, purpose, and reviewer attribution.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history remains auditable after external sharing.</w:t>
            </w:r>
          </w:p>
        </w:tc>
      </w:tr>
    </w:tbl>
    <w:p>
      <w:pPr>
        <w:spacing w:after="20"/>
      </w:pPr>
    </w:p>
    <w:p>
      <w:pPr>
        <w:pStyle w:val="Heading2"/>
        <w:spacing w:before="140" w:after="60"/>
      </w:pPr>
      <w:r>
        <w:t>5. Jurisdictional isolation</w:t>
      </w:r>
    </w:p>
    <w:p>
      <w:pPr>
        <w:pStyle w:val="BodyText"/>
        <w:spacing w:after="90"/>
      </w:pPr>
      <w:r>
        <w:t>Each institutional deployment is isolated at database, storage bucket, authentication, audit schema, integration, and export boundaries. The design posture is that no cross-tenant visibility, inference, or implicit data movement is possible. Public examples, demonstration records, or marketing pages must never expose live programme workspaces or operational evidence.</w:t>
      </w:r>
    </w:p>
    <w:p>
      <w:pPr>
        <w:pStyle w:val="ListBullet"/>
        <w:spacing w:after="50"/>
        <w:ind w:left="259"/>
      </w:pPr>
      <w:r>
        <w:t>Database isolation prevents users in one deployment from querying or inferring records in another deployment.</w:t>
      </w:r>
    </w:p>
    <w:p>
      <w:pPr>
        <w:pStyle w:val="ListBullet"/>
        <w:spacing w:after="50"/>
        <w:ind w:left="259"/>
      </w:pPr>
      <w:r>
        <w:t>Storage isolation prevents evidence objects, file metadata, and MRV attachments from crossing deployment buckets.</w:t>
      </w:r>
    </w:p>
    <w:p>
      <w:pPr>
        <w:pStyle w:val="ListBullet"/>
        <w:spacing w:after="50"/>
        <w:ind w:left="259"/>
      </w:pPr>
      <w:r>
        <w:t>Authentication boundaries prevent users from gaining access outside their approved institutional role and deployment context.</w:t>
      </w:r>
    </w:p>
    <w:p>
      <w:pPr>
        <w:pStyle w:val="ListBullet"/>
        <w:spacing w:after="50"/>
        <w:ind w:left="259"/>
      </w:pPr>
      <w:r>
        <w:t>Audit schema separation preserves deployment-specific oversight and reconstruction.</w:t>
      </w:r>
    </w:p>
    <w:p>
      <w:pPr>
        <w:pStyle w:val="ListBullet"/>
        <w:spacing w:after="50"/>
        <w:ind w:left="259"/>
      </w:pPr>
      <w:r>
        <w:t>Export posture ensures that external sharing follows the deployment’s approval, residency, and attribution rules.</w:t>
      </w:r>
    </w:p>
    <w:p>
      <w:pPr>
        <w:pStyle w:val="Heading2"/>
        <w:spacing w:before="140" w:after="60"/>
      </w:pPr>
      <w:r>
        <w:t>6. Reviewer evidence checklist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F3A45"/>
          </w:tcPr>
          <w:p>
            <w:pPr>
              <w:spacing w:after="0" w:line="252" w:lineRule="auto"/>
              <w:jc w:val="left"/>
            </w:pPr>
            <w:r/>
            <w:r>
              <w:rPr>
                <w:b/>
                <w:color w:val="FFFFFF"/>
                <w:sz w:val="16"/>
              </w:rPr>
              <w:t>Reviewer request</w:t>
            </w:r>
          </w:p>
        </w:tc>
        <w:tc>
          <w:tcPr>
            <w:tcW w:type="dxa" w:w="3278"/>
            <w:shd w:fill="2F3A45"/>
          </w:tcPr>
          <w:p>
            <w:pPr>
              <w:spacing w:after="0" w:line="252" w:lineRule="auto"/>
              <w:jc w:val="left"/>
            </w:pPr>
            <w:r/>
            <w:r>
              <w:rPr>
                <w:b/>
                <w:color w:val="FFFFFF"/>
                <w:sz w:val="16"/>
              </w:rPr>
              <w:t>Expected evidence</w:t>
            </w:r>
          </w:p>
        </w:tc>
        <w:tc>
          <w:tcPr>
            <w:tcW w:type="dxa" w:w="3278"/>
            <w:shd w:fill="2F3A45"/>
          </w:tcPr>
          <w:p>
            <w:pPr>
              <w:spacing w:after="0" w:line="252" w:lineRule="auto"/>
              <w:jc w:val="left"/>
            </w:pPr>
            <w:r/>
            <w:r>
              <w:rPr>
                <w:b/>
                <w:color w:val="FFFFFF"/>
                <w:sz w:val="16"/>
              </w:rPr>
              <w:t>Pass condition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the approved hosting region.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configuration and infrastructure confirmation.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Region is explicit and approved.</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whether backups leave the region.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Backup policy and retention configuration.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Backup posture matches residency rules.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who may export records.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permission matrix and export policy.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roles are limited and traceable.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export history.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Immutable export logs with attribution.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events are reconstructable.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deletion rules.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Retention and deletion policy.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Deletion does not break audit reconstruction.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deployment separation.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Tenancy, storage, auth, and audit isolation evidence.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No cross-deployment visibility or inference.</w:t>
            </w:r>
          </w:p>
        </w:tc>
      </w:tr>
    </w:tbl>
    <w:p>
      <w:pPr>
        <w:spacing w:after="20"/>
      </w:pPr>
    </w:p>
    <w:p>
      <w:r>
        <w:br w:type="page"/>
      </w:r>
    </w:p>
    <w:p>
      <w:pPr>
        <w:pStyle w:val="Heading1"/>
        <w:spacing w:before="240" w:after="120"/>
      </w:pPr>
      <w:r>
        <w:rPr>
          <w:b/>
          <w:color w:val="1F4E79"/>
          <w:sz w:val="32"/>
        </w:rPr>
        <w:t>ANNEX 2</w:t>
      </w:r>
      <w:r>
        <w:rPr>
          <w:b/>
          <w:color w:val="192B3C"/>
          <w:sz w:val="32"/>
        </w:rPr>
        <w:t xml:space="preserve"> — Identity &amp; Access Assurance</w:t>
      </w:r>
    </w:p>
    <w:p>
      <w:pPr>
        <w:pStyle w:val="BodyText"/>
        <w:spacing w:after="200"/>
      </w:pPr>
      <w:r>
        <w:t>Reviewer accountability, credentialing, privileged access, session integrity, and role-bound permissions for institutional deployments.</w:t>
      </w:r>
    </w:p>
    <w:tbl>
      <w:tblPr>
        <w:tblW w:type="auto" w:w="0"/>
        <w:jc w:val="center"/>
        <w:tblLayout w:type="autofit"/>
        <w:tblLook w:firstColumn="1" w:firstRow="1" w:lastColumn="0" w:lastRow="0" w:noHBand="0" w:noVBand="1" w:val="04A0"/>
      </w:tblPr>
      <w:tblGrid>
        <w:gridCol w:w="9835"/>
      </w:tblGrid>
      <w:tr>
        <w:tc>
          <w:tcPr>
            <w:tcW w:type="dxa" w:w="9835"/>
            <w:shd w:fill="EAF2F8"/>
            <w:tcBorders>
              <w:top w:sz="8" w:val="single" w:color="1F4E79"/>
              <w:left w:sz="8" w:val="single" w:color="1F4E79"/>
              <w:bottom w:sz="8" w:val="single" w:color="1F4E79"/>
              <w:right w:sz="8" w:val="single" w:color="1F4E79"/>
            </w:tcBorders>
            <w:vAlign w:val="center"/>
          </w:tcPr>
          <w:p>
            <w:pPr>
              <w:spacing w:after="60"/>
            </w:pPr>
            <w:r>
              <w:rPr>
                <w:b/>
                <w:color w:val="1F4E79"/>
                <w:sz w:val="20"/>
              </w:rPr>
              <w:t>Assurance objective</w:t>
            </w:r>
          </w:p>
          <w:p>
            <w:pPr>
              <w:spacing w:after="0"/>
            </w:pPr>
            <w:r>
              <w:rPr>
                <w:color w:val="273442"/>
                <w:sz w:val="18"/>
              </w:rPr>
              <w:t>Confirm that every material action is attributable to a verified identity, governed by role, limited by purpose, and preserved for audit reconstruction.</w:t>
            </w:r>
          </w:p>
        </w:tc>
      </w:tr>
    </w:tbl>
    <w:p>
      <w:pPr>
        <w:spacing w:after="0"/>
      </w:pPr>
    </w:p>
    <w:p>
      <w:pPr>
        <w:pStyle w:val="Heading2"/>
        <w:spacing w:before="140" w:after="60"/>
      </w:pPr>
      <w:r>
        <w:t>1. Identity assurance</w:t>
      </w:r>
    </w:p>
    <w:p>
      <w:pPr>
        <w:pStyle w:val="BodyText"/>
        <w:spacing w:after="90"/>
      </w:pPr>
      <w:r>
        <w:t>Identity assurance establishes who a user is, what institution or programme they represent, what role they hold, and what actions they may perform. Reviewer identity is non-repudiable: decisions, escalations, overrides, approvals, exports, and MRV-related actions must be tied to a specific verified account and timestamp.</w:t>
      </w:r>
    </w:p>
    <w:p>
      <w:pPr>
        <w:pStyle w:val="ListBullet"/>
        <w:spacing w:after="50"/>
        <w:ind w:left="259"/>
      </w:pPr>
      <w:r>
        <w:t>Multi-factor authentication is required for institutional users and privileged roles.</w:t>
      </w:r>
    </w:p>
    <w:p>
      <w:pPr>
        <w:pStyle w:val="ListBullet"/>
        <w:spacing w:after="50"/>
        <w:ind w:left="259"/>
      </w:pPr>
      <w:r>
        <w:t>Verified institutional accounts should be used for reviewers, administrators, auditors, and escalation authorities.</w:t>
      </w:r>
    </w:p>
    <w:p>
      <w:pPr>
        <w:pStyle w:val="ListBullet"/>
        <w:spacing w:after="50"/>
        <w:ind w:left="259"/>
      </w:pPr>
      <w:r>
        <w:t>Optional identity verification may be configured for high-risk or regulated deployments.</w:t>
      </w:r>
    </w:p>
    <w:p>
      <w:pPr>
        <w:pStyle w:val="ListBullet"/>
        <w:spacing w:after="50"/>
        <w:ind w:left="259"/>
      </w:pPr>
      <w:r>
        <w:t>Role-bound credentials prevent generic accounts from being used for reviewer decisions.</w:t>
      </w:r>
    </w:p>
    <w:p>
      <w:pPr>
        <w:pStyle w:val="ListBullet"/>
        <w:spacing w:after="50"/>
        <w:ind w:left="259"/>
      </w:pPr>
      <w:r>
        <w:t>Immutable identity logs preserve account creation, role assignment, access approval, privilege changes, and login-sensitive events.</w:t>
      </w:r>
    </w:p>
    <w:p>
      <w:pPr>
        <w:pStyle w:val="Heading2"/>
        <w:spacing w:before="140" w:after="60"/>
      </w:pPr>
      <w:r>
        <w:t>2. Role model</w:t>
      </w:r>
    </w:p>
    <w:p>
      <w:pPr>
        <w:pStyle w:val="BodyText"/>
        <w:spacing w:after="90"/>
      </w:pPr>
      <w:r>
        <w:t>Roles are defined per deployment. A role should never be treated as a generic title; it is an operational control that determines evidence visibility, approval authority, escalation rights, export permissions, MRV attachment rights, and administrative scope.</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1F4E79"/>
          </w:tcPr>
          <w:p>
            <w:pPr>
              <w:spacing w:after="0" w:line="252" w:lineRule="auto"/>
              <w:jc w:val="left"/>
            </w:pPr>
            <w:r/>
            <w:r>
              <w:rPr>
                <w:b/>
                <w:color w:val="FFFFFF"/>
                <w:sz w:val="16"/>
              </w:rPr>
              <w:t>Role</w:t>
            </w:r>
          </w:p>
        </w:tc>
        <w:tc>
          <w:tcPr>
            <w:tcW w:type="dxa" w:w="3278"/>
            <w:shd w:fill="1F4E79"/>
          </w:tcPr>
          <w:p>
            <w:pPr>
              <w:spacing w:after="0" w:line="252" w:lineRule="auto"/>
              <w:jc w:val="left"/>
            </w:pPr>
            <w:r/>
            <w:r>
              <w:rPr>
                <w:b/>
                <w:color w:val="FFFFFF"/>
                <w:sz w:val="16"/>
              </w:rPr>
              <w:t>Permitted scope</w:t>
            </w:r>
          </w:p>
        </w:tc>
        <w:tc>
          <w:tcPr>
            <w:tcW w:type="dxa" w:w="3278"/>
            <w:shd w:fill="1F4E79"/>
          </w:tcPr>
          <w:p>
            <w:pPr>
              <w:spacing w:after="0" w:line="252" w:lineRule="auto"/>
              <w:jc w:val="left"/>
            </w:pPr>
            <w:r/>
            <w:r>
              <w:rPr>
                <w:b/>
                <w:color w:val="FFFFFF"/>
                <w:sz w:val="16"/>
              </w:rPr>
              <w:t>Key restrictions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Reviewer</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 assigned evidence, record findings, raise conditions, and recommend next action.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Cannot approve outside assigned programme or export restricted records unless granted.</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Senior Reviewer</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 escalated records, confirm conditions, approve specified decision thresholds.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Cannot override audit logs or alter evidence lineage.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 Authority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Resolve exceptions, approve override pathways, record rationale.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Must record condition, authority basis, and rationale.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Institutional Administrator</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Manage users, roles, access approvals, routing setup, and deployment settings.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Cannot rewrite reviewer decisions or evidence lineage.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Auditor (read-only)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View audit trails, reconstruction records, export logs, and assurance evidence.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No write or destructive permissions.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External Reviewer (purpose-bound)</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Access limited packs, specific evidence, or defined review windows.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Bound by purpose, expiry, and external share registry.</w:t>
            </w:r>
          </w:p>
        </w:tc>
      </w:tr>
    </w:tbl>
    <w:p>
      <w:pPr>
        <w:spacing w:after="20"/>
      </w:pPr>
    </w:p>
    <w:p>
      <w:pPr>
        <w:pStyle w:val="Heading2"/>
        <w:spacing w:before="140" w:after="60"/>
      </w:pPr>
      <w:r>
        <w:t>3. Privileged access controls</w:t>
      </w:r>
    </w:p>
    <w:p>
      <w:pPr>
        <w:pStyle w:val="BodyText"/>
        <w:spacing w:after="90"/>
      </w:pPr>
      <w:r>
        <w:t>Privileged access is minimised, logged, time-bound, purpose-bound, and non-destructive. Administrative access exists to operate the deployment, not to change the historical record. Privileged actions cannot alter reviewer records, modify evidence lineage, override audit logs, or erase reconstruction history.</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2304"/>
            <w:shd w:fill="1F4E79"/>
          </w:tcPr>
          <w:p>
            <w:pPr>
              <w:spacing w:after="0" w:line="252" w:lineRule="auto"/>
              <w:jc w:val="left"/>
            </w:pPr>
            <w:r/>
            <w:r>
              <w:rPr>
                <w:b/>
                <w:color w:val="FFFFFF"/>
                <w:sz w:val="16"/>
              </w:rPr>
              <w:t>Configuration area</w:t>
            </w:r>
          </w:p>
        </w:tc>
        <w:tc>
          <w:tcPr>
            <w:tcW w:type="dxa" w:w="3816"/>
            <w:shd w:fill="1F4E79"/>
          </w:tcPr>
          <w:p>
            <w:pPr>
              <w:spacing w:after="0" w:line="252" w:lineRule="auto"/>
              <w:jc w:val="left"/>
            </w:pPr>
            <w:r/>
            <w:r>
              <w:rPr>
                <w:b/>
                <w:color w:val="FFFFFF"/>
                <w:sz w:val="16"/>
              </w:rPr>
              <w:t>Institutional requirement</w:t>
            </w:r>
          </w:p>
        </w:tc>
        <w:tc>
          <w:tcPr>
            <w:tcW w:type="dxa" w:w="3672"/>
            <w:shd w:fill="1F4E79"/>
          </w:tcPr>
          <w:p>
            <w:pPr>
              <w:spacing w:after="0" w:line="252" w:lineRule="auto"/>
              <w:jc w:val="left"/>
            </w:pPr>
            <w:r/>
            <w:r>
              <w:rPr>
                <w:b/>
                <w:color w:val="FFFFFF"/>
                <w:sz w:val="16"/>
              </w:rPr>
              <w:t>Assurance evidence</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Least privilege</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Users receive only the permissions needed for their assigned role and programme.</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assignment logs; access approval queue.</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Time-bound access</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External and elevated access may expire automatically or require renewal.</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Expiry setting; renewal evidence; external share registry.</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Purpose-bound access</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Access grants record the reason, scope, and approving authority.</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Access request; approval rationale; scope record.</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Non-destructive administration</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Administrators may manage configuration, not rewrite audit or evidence history.</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Privilege matrix; immutable log protections.</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Privileged action logging</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All privileged actions are logged with identity, timestamp, role, and scope.</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Admin audit log; session log; change record.</w:t>
            </w:r>
          </w:p>
        </w:tc>
      </w:tr>
    </w:tbl>
    <w:p>
      <w:pPr>
        <w:spacing w:after="20"/>
      </w:pPr>
    </w:p>
    <w:p>
      <w:pPr>
        <w:pStyle w:val="Heading2"/>
        <w:spacing w:before="140" w:after="60"/>
      </w:pPr>
      <w:r>
        <w:t>4. Session integrity</w:t>
      </w:r>
    </w:p>
    <w:p>
      <w:pPr>
        <w:pStyle w:val="BodyText"/>
        <w:spacing w:after="90"/>
      </w:pPr>
      <w:r>
        <w:t>Session integrity reduces the risk that a valid account is used outside the intended operating context. Sensitive actions should trigger forced re-authentication, and deployments may configure device checks or IP restrictions where the institutional risk profile requires it.</w:t>
      </w:r>
    </w:p>
    <w:p>
      <w:pPr>
        <w:pStyle w:val="ListBullet"/>
        <w:spacing w:after="50"/>
        <w:ind w:left="259"/>
      </w:pPr>
      <w:r>
        <w:t>MFA for institutional and privileged access.</w:t>
      </w:r>
    </w:p>
    <w:p>
      <w:pPr>
        <w:pStyle w:val="ListBullet"/>
        <w:spacing w:after="50"/>
        <w:ind w:left="259"/>
      </w:pPr>
      <w:r>
        <w:t>Optional device posture checks for high-risk deployments.</w:t>
      </w:r>
    </w:p>
    <w:p>
      <w:pPr>
        <w:pStyle w:val="ListBullet"/>
        <w:spacing w:after="50"/>
        <w:ind w:left="259"/>
      </w:pPr>
      <w:r>
        <w:t>Optional IP restrictions for sovereign or restricted environments.</w:t>
      </w:r>
    </w:p>
    <w:p>
      <w:pPr>
        <w:pStyle w:val="ListBullet"/>
        <w:spacing w:after="50"/>
        <w:ind w:left="259"/>
      </w:pPr>
      <w:r>
        <w:t>Session expiry and token rotation for active users.</w:t>
      </w:r>
    </w:p>
    <w:p>
      <w:pPr>
        <w:pStyle w:val="ListBullet"/>
        <w:spacing w:after="50"/>
        <w:ind w:left="259"/>
      </w:pPr>
      <w:r>
        <w:t>Forced re-authentication for exports, approvals, overrides, role changes, and other sensitive actions.</w:t>
      </w:r>
    </w:p>
    <w:p>
      <w:pPr>
        <w:pStyle w:val="Heading2"/>
        <w:spacing w:before="140" w:after="60"/>
      </w:pPr>
      <w:r>
        <w:t>5. Reviewer accountability</w:t>
      </w:r>
    </w:p>
    <w:p>
      <w:pPr>
        <w:pStyle w:val="BodyText"/>
        <w:spacing w:after="90"/>
      </w:pPr>
      <w:r>
        <w:t>Every reviewer action is attributed, timestamped, immutable, replayable, and bound to identity. This allows committees, donors, auditors, DFIs, ministries, and internal assurance teams to reconstruct who saw what, when, under which role, and on what basis a decision or escalation was recorded.</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1F4E79"/>
          </w:tcPr>
          <w:p>
            <w:pPr>
              <w:spacing w:after="0" w:line="252" w:lineRule="auto"/>
              <w:jc w:val="left"/>
            </w:pPr>
            <w:r/>
            <w:r>
              <w:rPr>
                <w:b/>
                <w:color w:val="FFFFFF"/>
                <w:sz w:val="16"/>
              </w:rPr>
              <w:t>Action type</w:t>
            </w:r>
          </w:p>
        </w:tc>
        <w:tc>
          <w:tcPr>
            <w:tcW w:type="dxa" w:w="3278"/>
            <w:shd w:fill="1F4E79"/>
          </w:tcPr>
          <w:p>
            <w:pPr>
              <w:spacing w:after="0" w:line="252" w:lineRule="auto"/>
              <w:jc w:val="left"/>
            </w:pPr>
            <w:r/>
            <w:r>
              <w:rPr>
                <w:b/>
                <w:color w:val="FFFFFF"/>
                <w:sz w:val="16"/>
              </w:rPr>
              <w:t>Required attribution</w:t>
            </w:r>
          </w:p>
        </w:tc>
        <w:tc>
          <w:tcPr>
            <w:tcW w:type="dxa" w:w="3278"/>
            <w:shd w:fill="1F4E79"/>
          </w:tcPr>
          <w:p>
            <w:pPr>
              <w:spacing w:after="0" w:line="252" w:lineRule="auto"/>
              <w:jc w:val="left"/>
            </w:pPr>
            <w:r/>
            <w:r>
              <w:rPr>
                <w:b/>
                <w:color w:val="FFFFFF"/>
                <w:sz w:val="16"/>
              </w:rPr>
              <w:t>Reconstruction requirement</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review</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ID, role, programme, evidence ID, timestamp.</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evidence state and reviewer finding.</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 raised</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ID, condition type, rationale, evidence link, timestamp.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trigger, condition, routing status, and resolution.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Originator, escalation authority, reason, threshold, timestamp.</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escalation chain and decision basis.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Override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Authority identity, condition, rationale, approval basis, timestamp.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why standard route was bypassed and who authorised it.</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Approval</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Approver identity, role, decision scope, evidence basis, timestamp.</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approval authority and evidence state at decision time.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Exporter identity, recipient/scope, purpose, pack type, timestamp.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what was exported and under which permission.</w:t>
            </w:r>
          </w:p>
        </w:tc>
      </w:tr>
    </w:tbl>
    <w:p>
      <w:pPr>
        <w:spacing w:after="20"/>
      </w:pPr>
    </w:p>
    <w:p>
      <w:pPr>
        <w:pStyle w:val="Heading2"/>
        <w:spacing w:before="140" w:after="60"/>
      </w:pPr>
      <w:r>
        <w:t>6. Reviewer evidence checklist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1F4E79"/>
          </w:tcPr>
          <w:p>
            <w:pPr>
              <w:spacing w:after="0" w:line="252" w:lineRule="auto"/>
              <w:jc w:val="left"/>
            </w:pPr>
            <w:r/>
            <w:r>
              <w:rPr>
                <w:b/>
                <w:color w:val="FFFFFF"/>
                <w:sz w:val="16"/>
              </w:rPr>
              <w:t>Reviewer request</w:t>
            </w:r>
          </w:p>
        </w:tc>
        <w:tc>
          <w:tcPr>
            <w:tcW w:type="dxa" w:w="3278"/>
            <w:shd w:fill="1F4E79"/>
          </w:tcPr>
          <w:p>
            <w:pPr>
              <w:spacing w:after="0" w:line="252" w:lineRule="auto"/>
              <w:jc w:val="left"/>
            </w:pPr>
            <w:r/>
            <w:r>
              <w:rPr>
                <w:b/>
                <w:color w:val="FFFFFF"/>
                <w:sz w:val="16"/>
              </w:rPr>
              <w:t>Expected evidence</w:t>
            </w:r>
          </w:p>
        </w:tc>
        <w:tc>
          <w:tcPr>
            <w:tcW w:type="dxa" w:w="3278"/>
            <w:shd w:fill="1F4E79"/>
          </w:tcPr>
          <w:p>
            <w:pPr>
              <w:spacing w:after="0" w:line="252" w:lineRule="auto"/>
              <w:jc w:val="left"/>
            </w:pPr>
            <w:r/>
            <w:r>
              <w:rPr>
                <w:b/>
                <w:color w:val="FFFFFF"/>
                <w:sz w:val="16"/>
              </w:rPr>
              <w:t>Pass condition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how identities are verified.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MFA policy, verified-domain requirements, optional IDV rules.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assurance is documented and enforceable.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role boundaries.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matrix and deployment-specific permission map.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Each role has explicit scope and restrictions.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privileged access limits.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Admin policy and privileged access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Privileged actions cannot alter immutable records.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session controls.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Session expiry, re-authentication, device/IP posture where configured.</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Sensitive actions require appropriate session assurance.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reviewer accountability.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Action logs with reviewer identity, timestamp, role, and programme.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Material actions are non-repudiable.</w:t>
            </w:r>
          </w:p>
        </w:tc>
      </w:tr>
    </w:tbl>
    <w:p>
      <w:pPr>
        <w:spacing w:after="20"/>
      </w:pPr>
    </w:p>
    <w:p>
      <w:r>
        <w:br w:type="page"/>
      </w:r>
    </w:p>
    <w:p>
      <w:pPr>
        <w:pStyle w:val="Heading1"/>
        <w:spacing w:before="240" w:after="120"/>
      </w:pPr>
      <w:r>
        <w:rPr>
          <w:b/>
          <w:color w:val="C00000"/>
          <w:sz w:val="32"/>
        </w:rPr>
        <w:t>ANNEX 3</w:t>
      </w:r>
      <w:r>
        <w:rPr>
          <w:b/>
          <w:color w:val="192B3C"/>
          <w:sz w:val="32"/>
        </w:rPr>
        <w:t xml:space="preserve"> — Audit &amp; RLS Assurance</w:t>
      </w:r>
    </w:p>
    <w:p>
      <w:pPr>
        <w:pStyle w:val="BodyText"/>
        <w:spacing w:after="200"/>
      </w:pPr>
      <w:r>
        <w:t>Audit schema, row-level security enforcement, immutable records, and reconstruction guarantees for institutional oversight.</w:t>
      </w:r>
    </w:p>
    <w:tbl>
      <w:tblPr>
        <w:tblW w:type="auto" w:w="0"/>
        <w:jc w:val="center"/>
        <w:tblLayout w:type="autofit"/>
        <w:tblLook w:firstColumn="1" w:firstRow="1" w:lastColumn="0" w:lastRow="0" w:noHBand="0" w:noVBand="1" w:val="04A0"/>
      </w:tblPr>
      <w:tblGrid>
        <w:gridCol w:w="9835"/>
      </w:tblGrid>
      <w:tr>
        <w:tc>
          <w:tcPr>
            <w:tcW w:type="dxa" w:w="9835"/>
            <w:shd w:fill="FDECEC"/>
            <w:tcBorders>
              <w:top w:sz="8" w:val="single" w:color="C00000"/>
              <w:left w:sz="8" w:val="single" w:color="C00000"/>
              <w:bottom w:sz="8" w:val="single" w:color="C00000"/>
              <w:right w:sz="8" w:val="single" w:color="C00000"/>
            </w:tcBorders>
            <w:vAlign w:val="center"/>
          </w:tcPr>
          <w:p>
            <w:pPr>
              <w:spacing w:after="60"/>
            </w:pPr>
            <w:r>
              <w:rPr>
                <w:b/>
                <w:color w:val="C00000"/>
                <w:sz w:val="20"/>
              </w:rPr>
              <w:t>Assurance objective</w:t>
            </w:r>
          </w:p>
          <w:p>
            <w:pPr>
              <w:spacing w:after="0"/>
            </w:pPr>
            <w:r>
              <w:rPr>
                <w:color w:val="273442"/>
                <w:sz w:val="18"/>
              </w:rPr>
              <w:t>Confirm that access is enforced at query level, material actions are captured in append-only audit records, and decisions can be reconstructed for internal audit, external audit, donor review, DFI compliance, and sovereign oversight.</w:t>
            </w:r>
          </w:p>
        </w:tc>
      </w:tr>
    </w:tbl>
    <w:p>
      <w:pPr>
        <w:spacing w:after="0"/>
      </w:pPr>
    </w:p>
    <w:p>
      <w:pPr>
        <w:pStyle w:val="Heading2"/>
        <w:spacing w:before="140" w:after="60"/>
      </w:pPr>
      <w:r>
        <w:t>1. Audit schema</w:t>
      </w:r>
    </w:p>
    <w:p>
      <w:pPr>
        <w:pStyle w:val="BodyText"/>
        <w:spacing w:after="90"/>
      </w:pPr>
      <w:r>
        <w:t>The audit schema captures reviewer identity, evidence state, conditions, escalations, overrides, approvals, exports, MRV attachments, programme lifecycle events, and privileged administrative actions. Audit records are append-only. They exist to preserve institutional memory beyond personnel changes, internal reorganisations, donor cycles, and programme closeout.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C00000"/>
          </w:tcPr>
          <w:p>
            <w:pPr>
              <w:spacing w:after="0" w:line="252" w:lineRule="auto"/>
              <w:jc w:val="left"/>
            </w:pPr>
            <w:r/>
            <w:r>
              <w:rPr>
                <w:b/>
                <w:color w:val="FFFFFF"/>
                <w:sz w:val="16"/>
              </w:rPr>
              <w:t>Audit domain</w:t>
            </w:r>
          </w:p>
        </w:tc>
        <w:tc>
          <w:tcPr>
            <w:tcW w:type="dxa" w:w="3278"/>
            <w:shd w:fill="C00000"/>
          </w:tcPr>
          <w:p>
            <w:pPr>
              <w:spacing w:after="0" w:line="252" w:lineRule="auto"/>
              <w:jc w:val="left"/>
            </w:pPr>
            <w:r/>
            <w:r>
              <w:rPr>
                <w:b/>
                <w:color w:val="FFFFFF"/>
                <w:sz w:val="16"/>
              </w:rPr>
              <w:t>Captured records</w:t>
            </w:r>
          </w:p>
        </w:tc>
        <w:tc>
          <w:tcPr>
            <w:tcW w:type="dxa" w:w="3278"/>
            <w:shd w:fill="C00000"/>
          </w:tcPr>
          <w:p>
            <w:pPr>
              <w:spacing w:after="0" w:line="252" w:lineRule="auto"/>
              <w:jc w:val="left"/>
            </w:pPr>
            <w:r/>
            <w:r>
              <w:rPr>
                <w:b/>
                <w:color w:val="FFFFFF"/>
                <w:sz w:val="16"/>
              </w:rPr>
              <w:t>Assurance purpose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identity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Actor ID, role, institution, programme, session context.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Bind decisions to accountable people and roles.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state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ID, version, source metadata, attached programme, state transitions.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Reconstruct what the reviewer saw at decision time.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 type, evidence basis, threshold, originator, status.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Preserve pending, resolved, or breached review conditions.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 route, authority, reason, timestamp, resolution.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why and how exceptions were elevated.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Overrides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Authority, rationale, condition, evidence context, approval basis.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Prevent silent bypass of standard routing.</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Approvals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Approver identity, scope, decision, evidence state, timestamp.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Demonstrate authority and decision basis.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Exporter, recipient/scope, pack type, purpose, timestamp.</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Preserve external sharing history.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attachments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Artefact, metadata, indicator, threshold, decision influence.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MRV impact on governance outcomes.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lifecycle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Creation, onboarding, status changes, closeout events.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Maintain institutional continuity.</w:t>
            </w:r>
          </w:p>
        </w:tc>
      </w:tr>
    </w:tbl>
    <w:p>
      <w:pPr>
        <w:spacing w:after="20"/>
      </w:pPr>
    </w:p>
    <w:p>
      <w:pPr>
        <w:pStyle w:val="Heading2"/>
        <w:spacing w:before="140" w:after="60"/>
      </w:pPr>
      <w:r>
        <w:t>2. RLS enforcement</w:t>
      </w:r>
    </w:p>
    <w:p>
      <w:pPr>
        <w:pStyle w:val="BodyText"/>
        <w:spacing w:after="90"/>
      </w:pPr>
      <w:r>
        <w:t>Row-Level Security enforces programme isolation, role-based visibility, reviewer-specific access, evidence lineage integrity, and export boundaries. RLS rules are declarative, immutable at runtime, evaluated per query, and violation attempts should be logged or otherwise surfaced in security monitoring where configured.</w:t>
      </w:r>
    </w:p>
    <w:p>
      <w:pPr>
        <w:pStyle w:val="ListBullet"/>
        <w:spacing w:after="50"/>
        <w:ind w:left="259"/>
      </w:pPr>
      <w:r>
        <w:t>Programme isolation: users can only query records attached to their authorised programme or institutional scope.</w:t>
      </w:r>
    </w:p>
    <w:p>
      <w:pPr>
        <w:pStyle w:val="ListBullet"/>
        <w:spacing w:after="50"/>
        <w:ind w:left="259"/>
      </w:pPr>
      <w:r>
        <w:t>Role-based visibility: evidence classes, reviewer notes, financial records, MRV artefacts, and export packs are visible only to permitted roles.</w:t>
      </w:r>
    </w:p>
    <w:p>
      <w:pPr>
        <w:pStyle w:val="ListBullet"/>
        <w:spacing w:after="50"/>
        <w:ind w:left="259"/>
      </w:pPr>
      <w:r>
        <w:t>Reviewer-specific access: assignments and external review windows restrict what a reviewer may see or act upon.</w:t>
      </w:r>
    </w:p>
    <w:p>
      <w:pPr>
        <w:pStyle w:val="ListBullet"/>
        <w:spacing w:after="50"/>
        <w:ind w:left="259"/>
      </w:pPr>
      <w:r>
        <w:t>Evidence lineage integrity: source, metadata, and state history cannot be bypassed through direct access.</w:t>
      </w:r>
    </w:p>
    <w:p>
      <w:pPr>
        <w:pStyle w:val="ListBullet"/>
        <w:spacing w:after="50"/>
        <w:ind w:left="259"/>
      </w:pPr>
      <w:r>
        <w:t>Export boundaries: exportable records must satisfy role, programme, and residency rules before release.</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2304"/>
            <w:shd w:fill="C00000"/>
          </w:tcPr>
          <w:p>
            <w:pPr>
              <w:spacing w:after="0" w:line="252" w:lineRule="auto"/>
              <w:jc w:val="left"/>
            </w:pPr>
            <w:r/>
            <w:r>
              <w:rPr>
                <w:b/>
                <w:color w:val="FFFFFF"/>
                <w:sz w:val="16"/>
              </w:rPr>
              <w:t>Configuration area</w:t>
            </w:r>
          </w:p>
        </w:tc>
        <w:tc>
          <w:tcPr>
            <w:tcW w:type="dxa" w:w="3816"/>
            <w:shd w:fill="C00000"/>
          </w:tcPr>
          <w:p>
            <w:pPr>
              <w:spacing w:after="0" w:line="252" w:lineRule="auto"/>
              <w:jc w:val="left"/>
            </w:pPr>
            <w:r/>
            <w:r>
              <w:rPr>
                <w:b/>
                <w:color w:val="FFFFFF"/>
                <w:sz w:val="16"/>
              </w:rPr>
              <w:t>Institutional requirement</w:t>
            </w:r>
          </w:p>
        </w:tc>
        <w:tc>
          <w:tcPr>
            <w:tcW w:type="dxa" w:w="3672"/>
            <w:shd w:fill="C00000"/>
          </w:tcPr>
          <w:p>
            <w:pPr>
              <w:spacing w:after="0" w:line="252" w:lineRule="auto"/>
              <w:jc w:val="left"/>
            </w:pPr>
            <w:r/>
            <w:r>
              <w:rPr>
                <w:b/>
                <w:color w:val="FFFFFF"/>
                <w:sz w:val="16"/>
              </w:rPr>
              <w:t>Assurance evidence</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scope</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Queries must filter by authorised programme or deployment scope.</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RLS policy definitions; access tests; violation logs.</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scope</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Permissions must differ by reviewer, senior reviewer, admin, auditor, and external reviewer.</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matrix; policy tests; sample user journeys.</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access</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objects must be visible only to authorised users and contexts.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Object-level access tests; storage policy evidence.</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protection</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records must be append-only and protected from ordinary edits or deletion.</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table policy; immutable record test.</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enforcement</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creation must respect RLS, residency, role, and programme rules.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test; export log; failed attempt record.</w:t>
            </w:r>
          </w:p>
        </w:tc>
      </w:tr>
    </w:tbl>
    <w:p>
      <w:pPr>
        <w:spacing w:after="20"/>
      </w:pPr>
    </w:p>
    <w:p>
      <w:pPr>
        <w:pStyle w:val="Heading2"/>
        <w:spacing w:before="140" w:after="60"/>
      </w:pPr>
      <w:r>
        <w:t>3. Immutable records</w:t>
      </w:r>
    </w:p>
    <w:p>
      <w:pPr>
        <w:pStyle w:val="BodyText"/>
        <w:spacing w:after="90"/>
      </w:pPr>
      <w:r>
        <w:t>Immutable records include reviewer actions, evidence lineage, escalation events, approval decisions, export events, MRV attachment changes, and audit reconstruction events. No privileged role can modify or delete these records outside an explicitly governed exceptional process. A correction should be recorded as a new event rather than a rewrite of history.</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C00000"/>
          </w:tcPr>
          <w:p>
            <w:pPr>
              <w:spacing w:after="0" w:line="252" w:lineRule="auto"/>
              <w:jc w:val="left"/>
            </w:pPr>
            <w:r/>
            <w:r>
              <w:rPr>
                <w:b/>
                <w:color w:val="FFFFFF"/>
                <w:sz w:val="16"/>
              </w:rPr>
              <w:t>Immutable record</w:t>
            </w:r>
          </w:p>
        </w:tc>
        <w:tc>
          <w:tcPr>
            <w:tcW w:type="dxa" w:w="3278"/>
            <w:shd w:fill="C00000"/>
          </w:tcPr>
          <w:p>
            <w:pPr>
              <w:spacing w:after="0" w:line="252" w:lineRule="auto"/>
              <w:jc w:val="left"/>
            </w:pPr>
            <w:r/>
            <w:r>
              <w:rPr>
                <w:b/>
                <w:color w:val="FFFFFF"/>
                <w:sz w:val="16"/>
              </w:rPr>
              <w:t>Why it cannot be rewritten</w:t>
            </w:r>
          </w:p>
        </w:tc>
        <w:tc>
          <w:tcPr>
            <w:tcW w:type="dxa" w:w="3278"/>
            <w:shd w:fill="C00000"/>
          </w:tcPr>
          <w:p>
            <w:pPr>
              <w:spacing w:after="0" w:line="252" w:lineRule="auto"/>
              <w:jc w:val="left"/>
            </w:pPr>
            <w:r/>
            <w:r>
              <w:rPr>
                <w:b/>
                <w:color w:val="FFFFFF"/>
                <w:sz w:val="16"/>
              </w:rPr>
              <w:t>Permitted correction method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action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Decision accountability depends on actor, role, evidence, and timestamp.</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correction, clarification, or superseding action.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lineage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Chain of custody and source credibility require preservation.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new version or metadata correction with rationale.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 event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Exception handling must remain visible to auditors and committees.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resolution or closing note.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Approval decision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Fiduciary, donor, and sovereign review depend on decision basis.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amendment or reversal with authority.</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Export event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External sharing cannot be silently erased after transmission.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revocation, expiry, or correction notice.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attachment</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Indicator and threshold history must remain connected to decisions.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 superseding artefact or updated interpretation.</w:t>
            </w:r>
          </w:p>
        </w:tc>
      </w:tr>
    </w:tbl>
    <w:p>
      <w:pPr>
        <w:spacing w:after="20"/>
      </w:pPr>
    </w:p>
    <w:p>
      <w:pPr>
        <w:pStyle w:val="Heading2"/>
        <w:spacing w:before="140" w:after="60"/>
      </w:pPr>
      <w:r>
        <w:t>4. Audit reconstruction</w:t>
      </w:r>
    </w:p>
    <w:p>
      <w:pPr>
        <w:pStyle w:val="BodyText"/>
        <w:spacing w:after="90"/>
      </w:pPr>
      <w:r>
        <w:t>Audit reconstruction provides the ability to replay reviewer actions, evidence state at any point in time, escalation chains, conditions and overrides, export posture at time of decision, and MRV influence on governance outcomes. The reconstruction record must support internal audits, external audits, donor reviews, DFI compliance checks, and sovereign oversight.</w:t>
      </w:r>
    </w:p>
    <w:p>
      <w:pPr>
        <w:pStyle w:val="ListBullet"/>
        <w:spacing w:after="50"/>
        <w:ind w:left="259"/>
      </w:pPr>
      <w:r>
        <w:t>Full replay of reviewer actions: who acted, under which role, at what time, and on which evidence.</w:t>
      </w:r>
    </w:p>
    <w:p>
      <w:pPr>
        <w:pStyle w:val="ListBullet"/>
        <w:spacing w:after="50"/>
        <w:ind w:left="259"/>
      </w:pPr>
      <w:r>
        <w:t>Evidence state at decision time: what records, metadata, versions, and MRV artefacts were visible.</w:t>
      </w:r>
    </w:p>
    <w:p>
      <w:pPr>
        <w:pStyle w:val="ListBullet"/>
        <w:spacing w:after="50"/>
        <w:ind w:left="259"/>
      </w:pPr>
      <w:r>
        <w:t>Escalation chain: why a record moved beyond ordinary routing and who resolved it.</w:t>
      </w:r>
    </w:p>
    <w:p>
      <w:pPr>
        <w:pStyle w:val="ListBullet"/>
        <w:spacing w:after="50"/>
        <w:ind w:left="259"/>
      </w:pPr>
      <w:r>
        <w:t>Conditions and overrides: what triggered a condition, how it was resolved, and whether a bypass was authorised.</w:t>
      </w:r>
    </w:p>
    <w:p>
      <w:pPr>
        <w:pStyle w:val="ListBullet"/>
        <w:spacing w:after="50"/>
        <w:ind w:left="259"/>
      </w:pPr>
      <w:r>
        <w:t>Export posture: what could be exported, what was exported, to whom, and under what rule.</w:t>
      </w:r>
    </w:p>
    <w:p>
      <w:pPr>
        <w:pStyle w:val="ListBullet"/>
        <w:spacing w:after="50"/>
        <w:ind w:left="259"/>
      </w:pPr>
      <w:r>
        <w:t>Programme lifecycle context: the status of the programme and funding or governance stage at the time of review.</w:t>
      </w:r>
    </w:p>
    <w:p>
      <w:pPr>
        <w:pStyle w:val="Heading2"/>
        <w:spacing w:before="140" w:after="60"/>
      </w:pPr>
      <w:r>
        <w:t>5. Reviewer evidence checklist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C00000"/>
          </w:tcPr>
          <w:p>
            <w:pPr>
              <w:spacing w:after="0" w:line="252" w:lineRule="auto"/>
              <w:jc w:val="left"/>
            </w:pPr>
            <w:r/>
            <w:r>
              <w:rPr>
                <w:b/>
                <w:color w:val="FFFFFF"/>
                <w:sz w:val="16"/>
              </w:rPr>
              <w:t>Reviewer request</w:t>
            </w:r>
          </w:p>
        </w:tc>
        <w:tc>
          <w:tcPr>
            <w:tcW w:type="dxa" w:w="3278"/>
            <w:shd w:fill="C00000"/>
          </w:tcPr>
          <w:p>
            <w:pPr>
              <w:spacing w:after="0" w:line="252" w:lineRule="auto"/>
              <w:jc w:val="left"/>
            </w:pPr>
            <w:r/>
            <w:r>
              <w:rPr>
                <w:b/>
                <w:color w:val="FFFFFF"/>
                <w:sz w:val="16"/>
              </w:rPr>
              <w:t>Expected evidence</w:t>
            </w:r>
          </w:p>
        </w:tc>
        <w:tc>
          <w:tcPr>
            <w:tcW w:type="dxa" w:w="3278"/>
            <w:shd w:fill="C00000"/>
          </w:tcPr>
          <w:p>
            <w:pPr>
              <w:spacing w:after="0" w:line="252" w:lineRule="auto"/>
              <w:jc w:val="left"/>
            </w:pPr>
            <w:r/>
            <w:r>
              <w:rPr>
                <w:b/>
                <w:color w:val="FFFFFF"/>
                <w:sz w:val="16"/>
              </w:rPr>
              <w:t>Pass condition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audit fields.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schema map and sample event records.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action, evidence, timestamp, and context are present.</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RLS boundaries.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Policy definitions and role-based access tests.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Users cannot see or infer unauthorised records.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immutability.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Append-only log evidence and correction workflow.</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Historical events are not overwritten.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reconstruction.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Sample reconstruction pack for an approval, export, or escalation.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Decision chain can be replayed end-to-end.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failed access handling.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Violation logs or monitoring evidence where configured.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Unauthorised access is denied and reviewable.</w:t>
            </w:r>
          </w:p>
        </w:tc>
      </w:tr>
    </w:tbl>
    <w:p>
      <w:pPr>
        <w:spacing w:after="20"/>
      </w:pPr>
    </w:p>
    <w:p>
      <w:r>
        <w:br w:type="page"/>
      </w:r>
    </w:p>
    <w:p>
      <w:pPr>
        <w:pStyle w:val="Heading1"/>
        <w:spacing w:before="240" w:after="120"/>
      </w:pPr>
      <w:r>
        <w:rPr>
          <w:b/>
          <w:color w:val="228B22"/>
          <w:sz w:val="32"/>
        </w:rPr>
        <w:t>ANNEX 4</w:t>
      </w:r>
      <w:r>
        <w:rPr>
          <w:b/>
          <w:color w:val="192B3C"/>
          <w:sz w:val="32"/>
        </w:rPr>
        <w:t xml:space="preserve"> — MRV Attachment Rules</w:t>
      </w:r>
    </w:p>
    <w:p>
      <w:pPr>
        <w:pStyle w:val="BodyText"/>
        <w:spacing w:after="200"/>
      </w:pPr>
      <w:r>
        <w:t>Sector-agnostic, methodology-neutral, governance-aligned rules for attaching MRV artefacts without replacing national or sectoral MRV authority.</w:t>
      </w:r>
    </w:p>
    <w:tbl>
      <w:tblPr>
        <w:tblW w:type="auto" w:w="0"/>
        <w:jc w:val="center"/>
        <w:tblLayout w:type="autofit"/>
        <w:tblLook w:firstColumn="1" w:firstRow="1" w:lastColumn="0" w:lastRow="0" w:noHBand="0" w:noVBand="1" w:val="04A0"/>
      </w:tblPr>
      <w:tblGrid>
        <w:gridCol w:w="9835"/>
      </w:tblGrid>
      <w:tr>
        <w:tc>
          <w:tcPr>
            <w:tcW w:type="dxa" w:w="9835"/>
            <w:shd w:fill="EAF7EA"/>
            <w:tcBorders>
              <w:top w:sz="8" w:val="single" w:color="228B22"/>
              <w:left w:sz="8" w:val="single" w:color="228B22"/>
              <w:bottom w:sz="8" w:val="single" w:color="228B22"/>
              <w:right w:sz="8" w:val="single" w:color="228B22"/>
            </w:tcBorders>
            <w:vAlign w:val="center"/>
          </w:tcPr>
          <w:p>
            <w:pPr>
              <w:spacing w:after="60"/>
            </w:pPr>
            <w:r>
              <w:rPr>
                <w:b/>
                <w:color w:val="228B22"/>
                <w:sz w:val="20"/>
              </w:rPr>
              <w:t>Assurance objective</w:t>
            </w:r>
          </w:p>
          <w:p>
            <w:pPr>
              <w:spacing w:after="0"/>
            </w:pPr>
            <w:r>
              <w:rPr>
                <w:color w:val="273442"/>
                <w:sz w:val="18"/>
              </w:rPr>
              <w:t>Confirm that MRV artefacts are attached, preserved, governed, reviewer-visible, and connected to decisions while Terra Vita Hub remains methodology-neutral and authority-preserving.</w:t>
            </w:r>
          </w:p>
        </w:tc>
      </w:tr>
    </w:tbl>
    <w:p>
      <w:pPr>
        <w:spacing w:after="0"/>
      </w:pPr>
    </w:p>
    <w:p>
      <w:pPr>
        <w:pStyle w:val="Heading2"/>
        <w:spacing w:before="140" w:after="60"/>
      </w:pPr>
      <w:r>
        <w:t>1. MRV principle</w:t>
      </w:r>
    </w:p>
    <w:p>
      <w:pPr>
        <w:pStyle w:val="BodyText"/>
        <w:spacing w:after="90"/>
      </w:pPr>
      <w:r>
        <w:t>Terra Vita Hub does not approve MRV methodologies. It attaches, preserves, governs, routes, and reconstructs MRV artefacts so that reviewers can understand how MRV evidence influenced conditions, escalations, approvals, funding readiness, monitoring, and closeout. Methodology authority remains with the relevant national, sectoral, certifying, verification, or programme authority.</w:t>
      </w:r>
    </w:p>
    <w:tbl>
      <w:tblPr>
        <w:tblW w:type="auto" w:w="0"/>
        <w:jc w:val="center"/>
        <w:tblLayout w:type="autofit"/>
        <w:tblLook w:firstColumn="1" w:firstRow="1" w:lastColumn="0" w:lastRow="0" w:noHBand="0" w:noVBand="1" w:val="04A0"/>
      </w:tblPr>
      <w:tblGrid>
        <w:gridCol w:w="9835"/>
      </w:tblGrid>
      <w:tr>
        <w:tc>
          <w:tcPr>
            <w:tcW w:type="dxa" w:w="9835"/>
            <w:shd w:fill="FFF4E6"/>
            <w:tcBorders>
              <w:top w:sz="8" w:val="single" w:color="C55A11"/>
              <w:left w:sz="8" w:val="single" w:color="C55A11"/>
              <w:bottom w:sz="8" w:val="single" w:color="C55A11"/>
              <w:right w:sz="8" w:val="single" w:color="C55A11"/>
            </w:tcBorders>
            <w:vAlign w:val="center"/>
          </w:tcPr>
          <w:p>
            <w:pPr>
              <w:spacing w:after="60"/>
            </w:pPr>
            <w:r>
              <w:rPr>
                <w:b/>
                <w:color w:val="C55A11"/>
                <w:sz w:val="20"/>
              </w:rPr>
              <w:t>Authority boundary</w:t>
            </w:r>
          </w:p>
          <w:p>
            <w:pPr>
              <w:spacing w:after="0"/>
            </w:pPr>
            <w:r>
              <w:rPr>
                <w:color w:val="273442"/>
                <w:sz w:val="18"/>
              </w:rPr>
              <w:t>MRV attachment in Terra Vita Hub supports review and governance. It does not certify carbon credits, replace national MRV systems, override verification bodies, or substitute for statutory environmental authority.</w:t>
            </w:r>
          </w:p>
        </w:tc>
      </w:tr>
    </w:tbl>
    <w:p>
      <w:pPr>
        <w:spacing w:after="0"/>
      </w:pPr>
    </w:p>
    <w:p>
      <w:pPr>
        <w:pStyle w:val="Heading2"/>
        <w:spacing w:before="140" w:after="60"/>
      </w:pPr>
      <w:r>
        <w:t>2. Evidence types</w:t>
      </w:r>
    </w:p>
    <w:p>
      <w:pPr>
        <w:pStyle w:val="BodyText"/>
        <w:spacing w:after="90"/>
      </w:pPr>
      <w:r>
        <w:t>MRV artefacts may include spatial data, temporal data, field observations, remote sensing outputs, verification reports, methodology documents, thresholds, indicators, safeguards evidence, and monitoring outputs. Artefacts must remain tied to programme context, source, timestamp, method, reviewer visibility, and state.</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28B22"/>
          </w:tcPr>
          <w:p>
            <w:pPr>
              <w:spacing w:after="0" w:line="252" w:lineRule="auto"/>
              <w:jc w:val="left"/>
            </w:pPr>
            <w:r/>
            <w:r>
              <w:rPr>
                <w:b/>
                <w:color w:val="FFFFFF"/>
                <w:sz w:val="16"/>
              </w:rPr>
              <w:t>Evidence type</w:t>
            </w:r>
          </w:p>
        </w:tc>
        <w:tc>
          <w:tcPr>
            <w:tcW w:type="dxa" w:w="3278"/>
            <w:shd w:fill="228B22"/>
          </w:tcPr>
          <w:p>
            <w:pPr>
              <w:spacing w:after="0" w:line="252" w:lineRule="auto"/>
              <w:jc w:val="left"/>
            </w:pPr>
            <w:r/>
            <w:r>
              <w:rPr>
                <w:b/>
                <w:color w:val="FFFFFF"/>
                <w:sz w:val="16"/>
              </w:rPr>
              <w:t>Typical examples</w:t>
            </w:r>
          </w:p>
        </w:tc>
        <w:tc>
          <w:tcPr>
            <w:tcW w:type="dxa" w:w="3278"/>
            <w:shd w:fill="228B22"/>
          </w:tcPr>
          <w:p>
            <w:pPr>
              <w:spacing w:after="0" w:line="252" w:lineRule="auto"/>
              <w:jc w:val="left"/>
            </w:pPr>
            <w:r/>
            <w:r>
              <w:rPr>
                <w:b/>
                <w:color w:val="FFFFFF"/>
                <w:sz w:val="16"/>
              </w:rPr>
              <w:t>Governance relevance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Spatial data</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Boundaries, polygons, site coordinates, restoration zones, concession or farm maps.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Defines where evidence applies and enables spatial review.</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Temporal data</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Time-series measurements, seasonal records, monitoring cycles.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Shows change over time and supports trend-based thresholds.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Field observations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Surveys, field officer notes, photos, ground-truth records.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Supports evidence validation and local verification.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Remote sensing</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Satellite indicators, NDVI, land-cover change, coastal or vegetation signals.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Supports independent monitoring and early warning.</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Verification reports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Third-party verification, auditor findings, methodology checks.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Supports external assurance and decision confidence.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Methodology documents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Applicable MRV methodology, indicator definitions, reporting rules.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Preserves the rules used to interpret evidence.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Thresholds and indicators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Trigger limits, performance thresholds, readiness indicators.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Connects MRV evidence to routing, conditions, and escalations.</w:t>
            </w:r>
          </w:p>
        </w:tc>
      </w:tr>
    </w:tbl>
    <w:p>
      <w:pPr>
        <w:spacing w:after="20"/>
      </w:pPr>
    </w:p>
    <w:p>
      <w:pPr>
        <w:pStyle w:val="Heading2"/>
        <w:spacing w:before="140" w:after="60"/>
      </w:pPr>
      <w:r>
        <w:t>3. Attachment rules</w:t>
      </w:r>
    </w:p>
    <w:p>
      <w:pPr>
        <w:pStyle w:val="BodyText"/>
        <w:spacing w:after="90"/>
      </w:pPr>
      <w:r>
        <w:t>MRV artefacts must be attached to a specific programme, carry metadata, preserve lineage, remain immutable, be reviewer-visible according to role, and trigger routing rules when thresholds are breached. Attachments must not float outside programme context.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2304"/>
            <w:shd w:fill="228B22"/>
          </w:tcPr>
          <w:p>
            <w:pPr>
              <w:spacing w:after="0" w:line="252" w:lineRule="auto"/>
              <w:jc w:val="left"/>
            </w:pPr>
            <w:r/>
            <w:r>
              <w:rPr>
                <w:b/>
                <w:color w:val="FFFFFF"/>
                <w:sz w:val="16"/>
              </w:rPr>
              <w:t>Configuration area</w:t>
            </w:r>
          </w:p>
        </w:tc>
        <w:tc>
          <w:tcPr>
            <w:tcW w:type="dxa" w:w="3816"/>
            <w:shd w:fill="228B22"/>
          </w:tcPr>
          <w:p>
            <w:pPr>
              <w:spacing w:after="0" w:line="252" w:lineRule="auto"/>
              <w:jc w:val="left"/>
            </w:pPr>
            <w:r/>
            <w:r>
              <w:rPr>
                <w:b/>
                <w:color w:val="FFFFFF"/>
                <w:sz w:val="16"/>
              </w:rPr>
              <w:t>Institutional requirement</w:t>
            </w:r>
          </w:p>
        </w:tc>
        <w:tc>
          <w:tcPr>
            <w:tcW w:type="dxa" w:w="3672"/>
            <w:shd w:fill="228B22"/>
          </w:tcPr>
          <w:p>
            <w:pPr>
              <w:spacing w:after="0" w:line="252" w:lineRule="auto"/>
              <w:jc w:val="left"/>
            </w:pPr>
            <w:r/>
            <w:r>
              <w:rPr>
                <w:b/>
                <w:color w:val="FFFFFF"/>
                <w:sz w:val="16"/>
              </w:rPr>
              <w:t>Assurance evidence</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attachment</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Every MRV artefact must be linked to a programme, project, site, or governed record.</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Attachment record; programme ID; site/context link.</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Metadata</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Source, timestamp, method, geography, owner, status, and version must be recorded.</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Metadata fields; provenance record; upload log.</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Lineage preservation</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Updates create new versions or events rather than overwriting the record.</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Version chain; lineage log; reviewer-visible history.</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Immutability</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Submitted MRV artefacts cannot be silently modified after review.</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Immutable storage policy; audit record.</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visibility</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artefacts are visible only to authorised users and roles.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matrix; RLS tests; external review restrictions.</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Threshold routing</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Breached thresholds trigger conditions, escalations, or review prompts.</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Threshold definition; triggered route; condition log.</w:t>
            </w:r>
          </w:p>
        </w:tc>
      </w:tr>
    </w:tbl>
    <w:p>
      <w:pPr>
        <w:spacing w:after="20"/>
      </w:pPr>
    </w:p>
    <w:p>
      <w:pPr>
        <w:pStyle w:val="Heading2"/>
        <w:spacing w:before="140" w:after="60"/>
      </w:pPr>
      <w:r>
        <w:t>4. Sector-specific logic</w:t>
      </w:r>
    </w:p>
    <w:p>
      <w:pPr>
        <w:pStyle w:val="BodyText"/>
        <w:spacing w:after="90"/>
      </w:pPr>
      <w:r>
        <w:t>Sector logic is variable. A forestry deployment may focus on biomass, land cover, restoration survival, and safeguards. A mining deployment may focus on rehabilitation obligations, water monitoring, incidents, tailings, and permit commitments. A coastal programme may focus on mangrove restoration, flood risk, blue-carbon indicators, and community resilience. The governance invariants remain constant even when sector indicators change.</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28B22"/>
          </w:tcPr>
          <w:p>
            <w:pPr>
              <w:spacing w:after="0" w:line="252" w:lineRule="auto"/>
              <w:jc w:val="left"/>
            </w:pPr>
            <w:r/>
            <w:r>
              <w:rPr>
                <w:b/>
                <w:color w:val="FFFFFF"/>
                <w:sz w:val="16"/>
              </w:rPr>
              <w:t>Sector</w:t>
            </w:r>
          </w:p>
        </w:tc>
        <w:tc>
          <w:tcPr>
            <w:tcW w:type="dxa" w:w="3278"/>
            <w:shd w:fill="228B22"/>
          </w:tcPr>
          <w:p>
            <w:pPr>
              <w:spacing w:after="0" w:line="252" w:lineRule="auto"/>
              <w:jc w:val="left"/>
            </w:pPr>
            <w:r/>
            <w:r>
              <w:rPr>
                <w:b/>
                <w:color w:val="FFFFFF"/>
                <w:sz w:val="16"/>
              </w:rPr>
              <w:t>Variable MRV logic</w:t>
            </w:r>
          </w:p>
        </w:tc>
        <w:tc>
          <w:tcPr>
            <w:tcW w:type="dxa" w:w="3278"/>
            <w:shd w:fill="228B22"/>
          </w:tcPr>
          <w:p>
            <w:pPr>
              <w:spacing w:after="0" w:line="252" w:lineRule="auto"/>
              <w:jc w:val="left"/>
            </w:pPr>
            <w:r/>
            <w:r>
              <w:rPr>
                <w:b/>
                <w:color w:val="FFFFFF"/>
                <w:sz w:val="16"/>
              </w:rPr>
              <w:t>Constant governance invariant</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Agriculture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Farm records, soil indicators, field verification, input and yield data.</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lineage, role visibility, decision traceability.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Forestry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Tree survival, biomass, land cover, restoration status, safeguards.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Immutable artefacts, methodology attachment, audit reconstruction.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Coastal</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Mangroves, shoreline risk, restoration zones, ecological surveys.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Spatial attachment, threshold routing, reviewer attribution.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Marine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Reef surveys, marine biodiversity, coastal-water observations.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Source metadata, MRV lineage, governed review.</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Mining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Rehabilitation evidence, permits, water monitoring, incidents, tailings.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Compliance lineage, escalation route, immutable audit.</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Climate finance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Eligibility indicators, safeguards, monitoring reports, performance triggers.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Funding readiness link, export posture, donor-review traceability.</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Nature-based solutions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Baseline, intervention, monitoring, verification, community safeguards.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MRV-to-decision chain, evidence state history.</w:t>
            </w:r>
          </w:p>
        </w:tc>
      </w:tr>
    </w:tbl>
    <w:p>
      <w:pPr>
        <w:spacing w:after="20"/>
      </w:pPr>
    </w:p>
    <w:p>
      <w:pPr>
        <w:pStyle w:val="Heading2"/>
        <w:spacing w:before="140" w:after="60"/>
      </w:pPr>
      <w:r>
        <w:t>5. MRV-to-decision chain</w:t>
      </w:r>
    </w:p>
    <w:p>
      <w:pPr>
        <w:pStyle w:val="BodyText"/>
        <w:spacing w:after="90"/>
      </w:pPr>
      <w:r>
        <w:t>MRV artefacts influence conditions, escalations, approvals, funding readiness, monitoring, and closeout. All MRV-linked decisions are logged and reconstructable. The reviewer must be able to see which artefact influenced the decision, which threshold applied, who reviewed it, and what action followed.</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28B22"/>
          </w:tcPr>
          <w:p>
            <w:pPr>
              <w:spacing w:after="0" w:line="252" w:lineRule="auto"/>
              <w:jc w:val="left"/>
            </w:pPr>
            <w:r/>
            <w:r>
              <w:rPr>
                <w:b/>
                <w:color w:val="FFFFFF"/>
                <w:sz w:val="16"/>
              </w:rPr>
              <w:t>Decision stage</w:t>
            </w:r>
          </w:p>
        </w:tc>
        <w:tc>
          <w:tcPr>
            <w:tcW w:type="dxa" w:w="3278"/>
            <w:shd w:fill="228B22"/>
          </w:tcPr>
          <w:p>
            <w:pPr>
              <w:spacing w:after="0" w:line="252" w:lineRule="auto"/>
              <w:jc w:val="left"/>
            </w:pPr>
            <w:r/>
            <w:r>
              <w:rPr>
                <w:b/>
                <w:color w:val="FFFFFF"/>
                <w:sz w:val="16"/>
              </w:rPr>
              <w:t>MRV influence</w:t>
            </w:r>
          </w:p>
        </w:tc>
        <w:tc>
          <w:tcPr>
            <w:tcW w:type="dxa" w:w="3278"/>
            <w:shd w:fill="228B22"/>
          </w:tcPr>
          <w:p>
            <w:pPr>
              <w:spacing w:after="0" w:line="252" w:lineRule="auto"/>
              <w:jc w:val="left"/>
            </w:pPr>
            <w:r/>
            <w:r>
              <w:rPr>
                <w:b/>
                <w:color w:val="FFFFFF"/>
                <w:sz w:val="16"/>
              </w:rPr>
              <w:t>Audit requirement</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 threshold, missing artefact, or verification issue triggers a condition.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 event records artefact, reviewer, threshold, and rationale.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 breached threshold or contradictory evidence requires senior review.</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Escalation event records authority, route, and evidence basis.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Approval</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 evidence supports or constrains approval readiness.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Approval event records evidence state and reviewer identity.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Funding readiness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evidence can support release conditions or readiness posture.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Funding-readiness log references MRV artefact and condition status.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Monitoring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Ongoing indicators update risk, compliance, or assurance posture.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Monitoring cycle logs artefact version and interpretation.</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Closeout</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Final evidence and verification artefacts support programme closure.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Closeout record links MRV evidence, approvals, and final conditions.</w:t>
            </w:r>
          </w:p>
        </w:tc>
      </w:tr>
    </w:tbl>
    <w:p>
      <w:pPr>
        <w:spacing w:after="20"/>
      </w:pPr>
    </w:p>
    <w:p>
      <w:pPr>
        <w:pStyle w:val="Heading2"/>
        <w:spacing w:before="140" w:after="60"/>
      </w:pPr>
      <w:r>
        <w:t>6. Reviewer evidence checklist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28B22"/>
          </w:tcPr>
          <w:p>
            <w:pPr>
              <w:spacing w:after="0" w:line="252" w:lineRule="auto"/>
              <w:jc w:val="left"/>
            </w:pPr>
            <w:r/>
            <w:r>
              <w:rPr>
                <w:b/>
                <w:color w:val="FFFFFF"/>
                <w:sz w:val="16"/>
              </w:rPr>
              <w:t>Reviewer request</w:t>
            </w:r>
          </w:p>
        </w:tc>
        <w:tc>
          <w:tcPr>
            <w:tcW w:type="dxa" w:w="3278"/>
            <w:shd w:fill="228B22"/>
          </w:tcPr>
          <w:p>
            <w:pPr>
              <w:spacing w:after="0" w:line="252" w:lineRule="auto"/>
              <w:jc w:val="left"/>
            </w:pPr>
            <w:r/>
            <w:r>
              <w:rPr>
                <w:b/>
                <w:color w:val="FFFFFF"/>
                <w:sz w:val="16"/>
              </w:rPr>
              <w:t>Expected evidence</w:t>
            </w:r>
          </w:p>
        </w:tc>
        <w:tc>
          <w:tcPr>
            <w:tcW w:type="dxa" w:w="3278"/>
            <w:shd w:fill="228B22"/>
          </w:tcPr>
          <w:p>
            <w:pPr>
              <w:spacing w:after="0" w:line="252" w:lineRule="auto"/>
              <w:jc w:val="left"/>
            </w:pPr>
            <w:r/>
            <w:r>
              <w:rPr>
                <w:b/>
                <w:color w:val="FFFFFF"/>
                <w:sz w:val="16"/>
              </w:rPr>
              <w:t>Pass condition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methodology attachment.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 methodology document linked to programme or record.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Methodology is attached but not approved by Terra Vita as authority.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artefact metadata.</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Source, timestamp, method, location, version, status.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provenance is clear.</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lineage.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Version history and immutable attachment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Reviewer can reconstruct artefact history.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thresholds.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Threshold definitions and routing rules.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Breaches trigger governed review.</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decision influence.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 escalation, approval, or funding log tied to MRV artefact.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MRV-to-decision chain is visible.</w:t>
            </w:r>
          </w:p>
        </w:tc>
      </w:tr>
    </w:tbl>
    <w:p>
      <w:pPr>
        <w:spacing w:after="20"/>
      </w:pPr>
    </w:p>
    <w:p>
      <w:pPr>
        <w:pStyle w:val="Heading1"/>
        <w:spacing w:before="240" w:after="120"/>
      </w:pPr>
      <w:r>
        <w:rPr>
          <w:b/>
          <w:color w:val="5B3F99"/>
          <w:sz w:val="32"/>
        </w:rPr>
        <w:t>ANNEX 5</w:t>
      </w:r>
      <w:r>
        <w:rPr>
          <w:b/>
          <w:color w:val="192B3C"/>
          <w:sz w:val="32"/>
        </w:rPr>
        <w:t xml:space="preserve"> — Deployment Architecture</w:t>
      </w:r>
    </w:p>
    <w:p>
      <w:pPr>
        <w:pStyle w:val="BodyText"/>
        <w:spacing w:after="200"/>
      </w:pPr>
      <w:r>
        <w:t>Isolation, tenancy, routing, integration, and governance spine architecture for sovereign, regional, hybrid, and optional air-gapped deployment models.</w:t>
      </w:r>
    </w:p>
    <w:tbl>
      <w:tblPr>
        <w:tblW w:type="auto" w:w="0"/>
        <w:jc w:val="center"/>
        <w:tblLayout w:type="autofit"/>
        <w:tblLook w:firstColumn="1" w:firstRow="1" w:lastColumn="0" w:lastRow="0" w:noHBand="0" w:noVBand="1" w:val="04A0"/>
      </w:tblPr>
      <w:tblGrid>
        <w:gridCol w:w="9835"/>
      </w:tblGrid>
      <w:tr>
        <w:tc>
          <w:tcPr>
            <w:tcW w:type="dxa" w:w="9835"/>
            <w:shd w:fill="F1ECF8"/>
            <w:tcBorders>
              <w:top w:sz="8" w:val="single" w:color="5B3F99"/>
              <w:left w:sz="8" w:val="single" w:color="5B3F99"/>
              <w:bottom w:sz="8" w:val="single" w:color="5B3F99"/>
              <w:right w:sz="8" w:val="single" w:color="5B3F99"/>
            </w:tcBorders>
            <w:vAlign w:val="center"/>
          </w:tcPr>
          <w:p>
            <w:pPr>
              <w:spacing w:after="60"/>
            </w:pPr>
            <w:r>
              <w:rPr>
                <w:b/>
                <w:color w:val="5B3F99"/>
                <w:sz w:val="20"/>
              </w:rPr>
              <w:t>Assurance objective</w:t>
            </w:r>
          </w:p>
          <w:p>
            <w:pPr>
              <w:spacing w:after="0"/>
            </w:pPr>
            <w:r>
              <w:rPr>
                <w:color w:val="273442"/>
                <w:sz w:val="18"/>
              </w:rPr>
              <w:t>Confirm that each deployment inherits the governance spine while remaining isolated at tenancy, database, storage, audit, integration, and export layers.</w:t>
            </w:r>
          </w:p>
        </w:tc>
      </w:tr>
    </w:tbl>
    <w:p>
      <w:pPr>
        <w:spacing w:after="0"/>
      </w:pPr>
    </w:p>
    <w:p>
      <w:pPr>
        <w:pStyle w:val="Heading2"/>
        <w:spacing w:before="140" w:after="60"/>
      </w:pPr>
      <w:r>
        <w:t>1. Architecture layers</w:t>
      </w:r>
    </w:p>
    <w:p>
      <w:pPr>
        <w:pStyle w:val="BodyText"/>
        <w:spacing w:after="90"/>
      </w:pPr>
      <w:r>
        <w:t>The deployment architecture is layered so that governance does not depend on a single user interface, document upload, or dashboard view. Identity, evidence, routing, assurance, lifecycle, interoperability, residency, audit, and deployment isolation operate as connected controls.</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5B3F99"/>
          </w:tcPr>
          <w:p>
            <w:pPr>
              <w:spacing w:after="0" w:line="252" w:lineRule="auto"/>
              <w:jc w:val="left"/>
            </w:pPr>
            <w:r/>
            <w:r>
              <w:rPr>
                <w:b/>
                <w:color w:val="FFFFFF"/>
                <w:sz w:val="16"/>
              </w:rPr>
              <w:t>Architecture layer</w:t>
            </w:r>
          </w:p>
        </w:tc>
        <w:tc>
          <w:tcPr>
            <w:tcW w:type="dxa" w:w="3278"/>
            <w:shd w:fill="5B3F99"/>
          </w:tcPr>
          <w:p>
            <w:pPr>
              <w:spacing w:after="0" w:line="252" w:lineRule="auto"/>
              <w:jc w:val="left"/>
            </w:pPr>
            <w:r/>
            <w:r>
              <w:rPr>
                <w:b/>
                <w:color w:val="FFFFFF"/>
                <w:sz w:val="16"/>
              </w:rPr>
              <w:t>Purpose</w:t>
            </w:r>
          </w:p>
        </w:tc>
        <w:tc>
          <w:tcPr>
            <w:tcW w:type="dxa" w:w="3278"/>
            <w:shd w:fill="5B3F99"/>
          </w:tcPr>
          <w:p>
            <w:pPr>
              <w:spacing w:after="0" w:line="252" w:lineRule="auto"/>
              <w:jc w:val="left"/>
            </w:pPr>
            <w:r/>
            <w:r>
              <w:rPr>
                <w:b/>
                <w:color w:val="FFFFFF"/>
                <w:sz w:val="16"/>
              </w:rPr>
              <w:t>Assurance outcome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&amp; Access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Authenticate users, bind roles, manage reviewer and privileged access.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Accountable, role-bound actions.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Intake &amp; Lineage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Capture documents, MRV artefacts, metadata, source, state, and version history.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Traceable evidence chain.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Governance Logic &amp; Routing</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Apply conditions, escalations, approvals, override pathways, and reviewer routes.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Predictable decision flow.</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Assurance &amp; Verification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Attach verification artefacts, thresholds, and assurance findings.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Reviewable assurance posture.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Lifecycle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Track onboarding, status, monitoring, funding readiness, and closeout.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continuity and operational context.</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Interoperability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Integrate MRV partners, national systems, export packs, and data exchange rules.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Purpose-bound integration with logs.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Data Residency &amp; Sovereignty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Enforce jurisdictional, hosting, retention, and export rules.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Sovereignty-aligned deployment posture.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Reconstruction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Preserve decision, evidence, export, and reviewer history.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Replayable decision trails.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Isolation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Separate tenants, storage, auth, audit, exports, and integrations.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No cross-tenant inference or visibility.</w:t>
            </w:r>
          </w:p>
        </w:tc>
      </w:tr>
    </w:tbl>
    <w:p>
      <w:pPr>
        <w:spacing w:after="20"/>
      </w:pPr>
    </w:p>
    <w:p>
      <w:pPr>
        <w:pStyle w:val="Heading2"/>
        <w:spacing w:before="140" w:after="60"/>
      </w:pPr>
      <w:r>
        <w:t>2. Tenancy model</w:t>
      </w:r>
    </w:p>
    <w:p>
      <w:pPr>
        <w:pStyle w:val="BodyText"/>
        <w:spacing w:after="90"/>
      </w:pPr>
      <w:r>
        <w:t>Each institutional deployment is single-tenant by design and isolated at database, storage, audit, and export levels. The tenancy model is designed to prevent cross-tenant inference, not merely cross-tenant access. That means one deployment should not be able to observe, count, infer, or reconstruct records from another deployment.</w:t>
      </w:r>
    </w:p>
    <w:p>
      <w:pPr>
        <w:pStyle w:val="ListBullet"/>
        <w:spacing w:after="50"/>
        <w:ind w:left="259"/>
      </w:pPr>
      <w:r>
        <w:t>Database-level isolation: records, policies, and query surfaces are scoped to the deployment.</w:t>
      </w:r>
    </w:p>
    <w:p>
      <w:pPr>
        <w:pStyle w:val="ListBullet"/>
        <w:spacing w:after="50"/>
        <w:ind w:left="259"/>
      </w:pPr>
      <w:r>
        <w:t>Storage-level isolation: evidence objects and attachments are separated by deployment and access policy.</w:t>
      </w:r>
    </w:p>
    <w:p>
      <w:pPr>
        <w:pStyle w:val="ListBullet"/>
        <w:spacing w:after="50"/>
        <w:ind w:left="259"/>
      </w:pPr>
      <w:r>
        <w:t>Audit-level isolation: audit trails preserve deployment-specific reconstruction without cross-tenant leakage.</w:t>
      </w:r>
    </w:p>
    <w:p>
      <w:pPr>
        <w:pStyle w:val="ListBullet"/>
        <w:spacing w:after="50"/>
        <w:ind w:left="259"/>
      </w:pPr>
      <w:r>
        <w:t>Export-level isolation: export packs and share registries are generated within deployment-specific rules.</w:t>
      </w:r>
    </w:p>
    <w:p>
      <w:pPr>
        <w:pStyle w:val="ListBullet"/>
        <w:spacing w:after="50"/>
        <w:ind w:left="259"/>
      </w:pPr>
      <w:r>
        <w:t>No cross-tenant inference: users cannot infer the existence or state of records outside their deployment.</w:t>
      </w:r>
    </w:p>
    <w:p>
      <w:pPr>
        <w:pStyle w:val="Heading2"/>
        <w:spacing w:before="140" w:after="60"/>
      </w:pPr>
      <w:r>
        <w:t>3. Governance spine enforcement</w:t>
      </w:r>
    </w:p>
    <w:p>
      <w:pPr>
        <w:pStyle w:val="BodyText"/>
        <w:spacing w:after="90"/>
      </w:pPr>
      <w:r>
        <w:t>The governance spine is enforced at identity, evidence, routing, assurance, and audit layers. This ensures that the same governance invariants apply across agriculture, coastal, marine, mining, climate finance, nature-based solutions, sovereign programmes, and portfolio deployments.</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5B3F99"/>
          </w:tcPr>
          <w:p>
            <w:pPr>
              <w:spacing w:after="0" w:line="252" w:lineRule="auto"/>
              <w:jc w:val="left"/>
            </w:pPr>
            <w:r/>
            <w:r>
              <w:rPr>
                <w:b/>
                <w:color w:val="FFFFFF"/>
                <w:sz w:val="16"/>
              </w:rPr>
              <w:t>Spine layer</w:t>
            </w:r>
          </w:p>
        </w:tc>
        <w:tc>
          <w:tcPr>
            <w:tcW w:type="dxa" w:w="3278"/>
            <w:shd w:fill="5B3F99"/>
          </w:tcPr>
          <w:p>
            <w:pPr>
              <w:spacing w:after="0" w:line="252" w:lineRule="auto"/>
              <w:jc w:val="left"/>
            </w:pPr>
            <w:r/>
            <w:r>
              <w:rPr>
                <w:b/>
                <w:color w:val="FFFFFF"/>
                <w:sz w:val="16"/>
              </w:rPr>
              <w:t>Enforcement point</w:t>
            </w:r>
          </w:p>
        </w:tc>
        <w:tc>
          <w:tcPr>
            <w:tcW w:type="dxa" w:w="3278"/>
            <w:shd w:fill="5B3F99"/>
          </w:tcPr>
          <w:p>
            <w:pPr>
              <w:spacing w:after="0" w:line="252" w:lineRule="auto"/>
              <w:jc w:val="left"/>
            </w:pPr>
            <w:r/>
            <w:r>
              <w:rPr>
                <w:b/>
                <w:color w:val="FFFFFF"/>
                <w:sz w:val="16"/>
              </w:rPr>
              <w:t>Reviewer assurance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layer</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MFA, verified accounts, role-bound credentials, privileged access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Who acted is known and non-repudiable.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Evidence layer</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Programme attachment, metadata, lineage, immutability, storage policy.</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What evidence was used is reconstructable.</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Routing layer</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Conditions, escalations, approval thresholds, override pathways.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Why a decision route occurred is visible.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Assurance layer</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Verification artefacts, MRV influence, thresholds, external review packs.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What assurance evidence supported the decision is clear.</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Audit layer</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Append-only logs, RLS enforcement, export records, reconstruction pack.</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How the decision can be replayed is clear.</w:t>
            </w:r>
          </w:p>
        </w:tc>
      </w:tr>
    </w:tbl>
    <w:p>
      <w:pPr>
        <w:spacing w:after="20"/>
      </w:pPr>
    </w:p>
    <w:p>
      <w:pPr>
        <w:pStyle w:val="Heading2"/>
        <w:spacing w:before="140" w:after="60"/>
      </w:pPr>
      <w:r>
        <w:t>4. Integration &amp; interoperability</w:t>
      </w:r>
    </w:p>
    <w:p>
      <w:pPr>
        <w:pStyle w:val="BodyText"/>
        <w:spacing w:after="90"/>
      </w:pPr>
      <w:r>
        <w:t>Integrations follow purpose-bound access, API-level isolation, MRV partner integration rules, national system interoperability requirements, and immutable integration logs. Integration does not weaken deployment isolation or evidence lineage. External systems may contribute artefacts, read defined outputs, or participate in governed exchange only where the deployment configuration permits it.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2304"/>
            <w:shd w:fill="5B3F99"/>
          </w:tcPr>
          <w:p>
            <w:pPr>
              <w:spacing w:after="0" w:line="252" w:lineRule="auto"/>
              <w:jc w:val="left"/>
            </w:pPr>
            <w:r/>
            <w:r>
              <w:rPr>
                <w:b/>
                <w:color w:val="FFFFFF"/>
                <w:sz w:val="16"/>
              </w:rPr>
              <w:t>Configuration area</w:t>
            </w:r>
          </w:p>
        </w:tc>
        <w:tc>
          <w:tcPr>
            <w:tcW w:type="dxa" w:w="3816"/>
            <w:shd w:fill="5B3F99"/>
          </w:tcPr>
          <w:p>
            <w:pPr>
              <w:spacing w:after="0" w:line="252" w:lineRule="auto"/>
              <w:jc w:val="left"/>
            </w:pPr>
            <w:r/>
            <w:r>
              <w:rPr>
                <w:b/>
                <w:color w:val="FFFFFF"/>
                <w:sz w:val="16"/>
              </w:rPr>
              <w:t>Institutional requirement</w:t>
            </w:r>
          </w:p>
        </w:tc>
        <w:tc>
          <w:tcPr>
            <w:tcW w:type="dxa" w:w="3672"/>
            <w:shd w:fill="5B3F99"/>
          </w:tcPr>
          <w:p>
            <w:pPr>
              <w:spacing w:after="0" w:line="252" w:lineRule="auto"/>
              <w:jc w:val="left"/>
            </w:pPr>
            <w:r/>
            <w:r>
              <w:rPr>
                <w:b/>
                <w:color w:val="FFFFFF"/>
                <w:sz w:val="16"/>
              </w:rPr>
              <w:t>Assurance evidence</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Purpose-bound access</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Integration must have an approved purpose, scope, and authority.</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Integration approval record; purpose statement; scope limit.</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API-level isolation</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API access must be limited by deployment, programme, role, and object scope.</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API policy; service account logs; access tests.</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 partner integration</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MRV partners may attach or exchange artefacts under methodology and programme rules.</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Partner agreement; artefact logs; metadata map.</w:t>
            </w:r>
          </w:p>
        </w:tc>
      </w:tr>
      <w:tr>
        <w:tc>
          <w:tcPr>
            <w:tcW w:type="dxa" w:w="2304"/>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National system interoperability</w:t>
            </w:r>
          </w:p>
        </w:tc>
        <w:tc>
          <w:tcPr>
            <w:tcW w:type="dxa" w:w="3816"/>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National systems may receive or exchange records under sovereignty and export controls.</w:t>
            </w:r>
          </w:p>
        </w:tc>
        <w:tc>
          <w:tcPr>
            <w:tcW w:type="dxa" w:w="3672"/>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Interoperability protocol; export log; data-sharing approval.</w:t>
            </w:r>
          </w:p>
        </w:tc>
      </w:tr>
      <w:tr>
        <w:tc>
          <w:tcPr>
            <w:tcW w:type="dxa" w:w="2304"/>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Immutable integration logs</w:t>
            </w:r>
          </w:p>
        </w:tc>
        <w:tc>
          <w:tcPr>
            <w:tcW w:type="dxa" w:w="3816"/>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Every integration action should be logged with identity, system, object, and timestamp.</w:t>
            </w:r>
          </w:p>
        </w:tc>
        <w:tc>
          <w:tcPr>
            <w:tcW w:type="dxa" w:w="3672"/>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Integration audit trail; error and retry logs.</w:t>
            </w:r>
          </w:p>
        </w:tc>
      </w:tr>
    </w:tbl>
    <w:p>
      <w:pPr>
        <w:spacing w:after="20"/>
      </w:pPr>
    </w:p>
    <w:p>
      <w:pPr>
        <w:pStyle w:val="Heading2"/>
        <w:spacing w:before="140" w:after="60"/>
      </w:pPr>
      <w:r>
        <w:t>5. Deployment models</w:t>
      </w:r>
    </w:p>
    <w:p>
      <w:pPr>
        <w:pStyle w:val="BodyText"/>
        <w:spacing w:after="90"/>
      </w:pPr>
      <w:r>
        <w:t>Deployment models may include sovereign cloud, regional cloud, hybrid sovereign/cloud, and optional air-gapped configurations. Each model inherits RLS, audit schema, reviewer accountability, evidence lineage, and export posture. The deployment model changes infrastructure placement, not the governance spine.</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5B3F99"/>
          </w:tcPr>
          <w:p>
            <w:pPr>
              <w:spacing w:after="0" w:line="252" w:lineRule="auto"/>
              <w:jc w:val="left"/>
            </w:pPr>
            <w:r/>
            <w:r>
              <w:rPr>
                <w:b/>
                <w:color w:val="FFFFFF"/>
                <w:sz w:val="16"/>
              </w:rPr>
              <w:t>Deployment model</w:t>
            </w:r>
          </w:p>
        </w:tc>
        <w:tc>
          <w:tcPr>
            <w:tcW w:type="dxa" w:w="3278"/>
            <w:shd w:fill="5B3F99"/>
          </w:tcPr>
          <w:p>
            <w:pPr>
              <w:spacing w:after="0" w:line="252" w:lineRule="auto"/>
              <w:jc w:val="left"/>
            </w:pPr>
            <w:r/>
            <w:r>
              <w:rPr>
                <w:b/>
                <w:color w:val="FFFFFF"/>
                <w:sz w:val="16"/>
              </w:rPr>
              <w:t>Typical use case</w:t>
            </w:r>
          </w:p>
        </w:tc>
        <w:tc>
          <w:tcPr>
            <w:tcW w:type="dxa" w:w="3278"/>
            <w:shd w:fill="5B3F99"/>
          </w:tcPr>
          <w:p>
            <w:pPr>
              <w:spacing w:after="0" w:line="252" w:lineRule="auto"/>
              <w:jc w:val="left"/>
            </w:pPr>
            <w:r/>
            <w:r>
              <w:rPr>
                <w:b/>
                <w:color w:val="FFFFFF"/>
                <w:sz w:val="16"/>
              </w:rPr>
              <w:t>Inherited controls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Sovereign cloud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National programmes, ministries, regulated sovereign data, public authority oversight.</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RLS, audit schema, reviewer accountability, evidence lineage, export posture, residency controls.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Regional cloud</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Regional programmes where approved regional hosting meets donor or institutional requirements.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Same governance spine with region-specific residency and export rules.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Hybrid sovereign + cloud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Deployments requiring local storage or national integration plus cloud analytics or external review.</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Boundary controls, integration logs, export governance, evidence lineage.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Air-gapped optional</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Highly restricted deployments requiring disconnected or controlled-network operations.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Offline governance spine, audit capture, controlled synchronisation, export approvals.</w:t>
            </w:r>
          </w:p>
        </w:tc>
      </w:tr>
    </w:tbl>
    <w:p>
      <w:pPr>
        <w:spacing w:after="20"/>
      </w:pPr>
    </w:p>
    <w:p>
      <w:pPr>
        <w:pStyle w:val="Heading2"/>
        <w:spacing w:before="140" w:after="60"/>
      </w:pPr>
      <w:r>
        <w:t>6. Reviewer evidence checklist</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5B3F99"/>
          </w:tcPr>
          <w:p>
            <w:pPr>
              <w:spacing w:after="0" w:line="252" w:lineRule="auto"/>
              <w:jc w:val="left"/>
            </w:pPr>
            <w:r/>
            <w:r>
              <w:rPr>
                <w:b/>
                <w:color w:val="FFFFFF"/>
                <w:sz w:val="16"/>
              </w:rPr>
              <w:t>Reviewer request</w:t>
            </w:r>
          </w:p>
        </w:tc>
        <w:tc>
          <w:tcPr>
            <w:tcW w:type="dxa" w:w="3278"/>
            <w:shd w:fill="5B3F99"/>
          </w:tcPr>
          <w:p>
            <w:pPr>
              <w:spacing w:after="0" w:line="252" w:lineRule="auto"/>
              <w:jc w:val="left"/>
            </w:pPr>
            <w:r/>
            <w:r>
              <w:rPr>
                <w:b/>
                <w:color w:val="FFFFFF"/>
                <w:sz w:val="16"/>
              </w:rPr>
              <w:t>Expected evidence</w:t>
            </w:r>
          </w:p>
        </w:tc>
        <w:tc>
          <w:tcPr>
            <w:tcW w:type="dxa" w:w="3278"/>
            <w:shd w:fill="5B3F99"/>
          </w:tcPr>
          <w:p>
            <w:pPr>
              <w:spacing w:after="0" w:line="252" w:lineRule="auto"/>
              <w:jc w:val="left"/>
            </w:pPr>
            <w:r/>
            <w:r>
              <w:rPr>
                <w:b/>
                <w:color w:val="FFFFFF"/>
                <w:sz w:val="16"/>
              </w:rPr>
              <w:t>Pass condition</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tenancy design.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architecture and tenancy isolation record.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Deployment is isolated at data, storage, auth, audit, and export layers.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governance spine enforcement.</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Layer-by-layer control map.</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Identity, evidence, routing, assurance, and audit are connected.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integration boundaries.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API and partner integration policies and logs.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External systems cannot bypass programme controls.</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deployment model choice.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Architecture decision record and sovereignty configuration.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Infrastructure model matches institutional requirements.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Show inherited controls.</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RLS, audit, role, evidence, and export control evidence.</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Governance invariants persist across deployment models.</w:t>
            </w:r>
          </w:p>
        </w:tc>
      </w:tr>
    </w:tbl>
    <w:p>
      <w:pPr>
        <w:spacing w:after="20"/>
      </w:pPr>
    </w:p>
    <w:p>
      <w:pPr>
        <w:sectPr>
          <w:headerReference w:type="default" r:id="rId14"/>
          <w:footerReference w:type="default" r:id="rId15"/>
          <w:pgSz w:w="11909" w:h="16834"/>
          <w:pgMar w:top="936" w:right="1037" w:bottom="936" w:left="1037" w:header="504" w:footer="504" w:gutter="0"/>
          <w:cols w:space="720"/>
          <w:docGrid w:linePitch="360"/>
        </w:sectPr>
      </w:pPr>
    </w:p>
    <w:p>
      <w:pPr>
        <w:pStyle w:val="Heading1"/>
        <w:spacing w:before="240" w:after="120"/>
      </w:pPr>
      <w:r>
        <w:rPr>
          <w:b/>
          <w:color w:val="1F4E79"/>
          <w:sz w:val="32"/>
        </w:rPr>
        <w:t>6</w:t>
      </w:r>
      <w:r>
        <w:rPr>
          <w:b/>
          <w:color w:val="192B3C"/>
          <w:sz w:val="32"/>
        </w:rPr>
        <w:t xml:space="preserve"> — Institutional Review Summary</w:t>
      </w:r>
    </w:p>
    <w:p>
      <w:pPr>
        <w:pStyle w:val="BodyText"/>
        <w:spacing w:after="200"/>
      </w:pPr>
      <w:r>
        <w:t>The annexes should be reviewed together. No single annex is sufficient on its own: sovereignty controls require identity, identity requires auditability, auditability requires RLS, MRV attachment requires lineage, and deployment architecture must preserve all of these controls.</w:t>
      </w:r>
    </w:p>
    <w:p>
      <w:pPr>
        <w:pStyle w:val="Heading2"/>
        <w:spacing w:before="140" w:after="60"/>
      </w:pPr>
      <w:r>
        <w:t>6.1 Cross-annex assurance matrix</w:t>
      </w:r>
    </w:p>
    <w:tbl>
      <w:tblPr>
        <w:tblStyle w:val="TableGrid"/>
        <w:tblW w:type="auto" w:w="0"/>
        <w:jc w:val="center"/>
        <w:tblLayout w:type="autofit"/>
        <w:tblLook w:firstColumn="1" w:firstRow="1" w:lastColumn="0" w:lastRow="0" w:noHBand="0" w:noVBand="1" w:val="04A0"/>
      </w:tblPr>
      <w:tblGrid>
        <w:gridCol w:w="3278"/>
        <w:gridCol w:w="3278"/>
        <w:gridCol w:w="3278"/>
      </w:tblGrid>
      <w:tr>
        <w:trPr>
          <w:tblHeader w:val="true"/>
        </w:trPr>
        <w:tc>
          <w:tcPr>
            <w:tcW w:type="dxa" w:w="3278"/>
            <w:shd w:fill="243B53"/>
          </w:tcPr>
          <w:p>
            <w:pPr>
              <w:spacing w:after="0" w:line="252" w:lineRule="auto"/>
              <w:jc w:val="left"/>
            </w:pPr>
            <w:r/>
            <w:r>
              <w:rPr>
                <w:b/>
                <w:color w:val="FFFFFF"/>
                <w:sz w:val="16"/>
              </w:rPr>
              <w:t>Reviewer concern</w:t>
            </w:r>
          </w:p>
        </w:tc>
        <w:tc>
          <w:tcPr>
            <w:tcW w:type="dxa" w:w="3278"/>
            <w:shd w:fill="243B53"/>
          </w:tcPr>
          <w:p>
            <w:pPr>
              <w:spacing w:after="0" w:line="252" w:lineRule="auto"/>
              <w:jc w:val="left"/>
            </w:pPr>
            <w:r/>
            <w:r>
              <w:rPr>
                <w:b/>
                <w:color w:val="FFFFFF"/>
                <w:sz w:val="16"/>
              </w:rPr>
              <w:t>Where answered</w:t>
            </w:r>
          </w:p>
        </w:tc>
        <w:tc>
          <w:tcPr>
            <w:tcW w:type="dxa" w:w="3278"/>
            <w:shd w:fill="243B53"/>
          </w:tcPr>
          <w:p>
            <w:pPr>
              <w:spacing w:after="0" w:line="252" w:lineRule="auto"/>
              <w:jc w:val="left"/>
            </w:pPr>
            <w:r/>
            <w:r>
              <w:rPr>
                <w:b/>
                <w:color w:val="FFFFFF"/>
                <w:sz w:val="16"/>
              </w:rPr>
              <w:t>Institutional test</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Can deployment data leave the jurisdiction?</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1 + Annex 5</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Residency, backup, logging, audit, integration, and export settings are explicit.</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Who can review or approve evidence?</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2 + Annex 3</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Role matrix, identity logs, RLS policies, and reviewer attribution are aligned.</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Can an administrator rewrite history?</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2 + Annex 3</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Privileged access is non-destructive and audit records are append-only.</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How does MRV influence decisions?</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4 + Annex 3</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MRV artefacts link to conditions, escalations, approvals, funding readiness, and logs.</w:t>
            </w:r>
          </w:p>
        </w:tc>
      </w:tr>
      <w:tr>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Are deployments isolated?</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1 + Annex 5 + Annex 3</w:t>
            </w:r>
          </w:p>
        </w:tc>
        <w:tc>
          <w:tcPr>
            <w:tcW w:type="dxa" w:w="3278"/>
            <w:shd w:fill="F8FAFC"/>
            <w:tcBorders>
              <w:top w:sz="2" w:val="single" w:color="D9E2EC"/>
              <w:left w:sz="2" w:val="single" w:color="D9E2EC"/>
              <w:bottom w:sz="2" w:val="single" w:color="D9E2EC"/>
              <w:right w:sz="2" w:val="single" w:color="D9E2EC"/>
            </w:tcBorders>
          </w:tcPr>
          <w:p>
            <w:pPr>
              <w:spacing w:after="0" w:line="252" w:lineRule="auto"/>
              <w:jc w:val="left"/>
            </w:pPr>
            <w:r/>
            <w:r>
              <w:rPr>
                <w:b w:val="0"/>
                <w:sz w:val="16"/>
              </w:rPr>
              <w:t>Database, storage, auth, audit, export, and query policies prevent cross-tenant access or inference.</w:t>
            </w:r>
          </w:p>
        </w:tc>
      </w:tr>
      <w:tr>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Can a donor or DFI reconstruct a decision?</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Annex 3 + Annex 4 + Annex 2</w:t>
            </w:r>
          </w:p>
        </w:tc>
        <w:tc>
          <w:tcPr>
            <w:tcW w:type="dxa" w:w="3278"/>
            <w:shd w:fill="FFFFFF"/>
            <w:tcBorders>
              <w:top w:sz="2" w:val="single" w:color="D9E2EC"/>
              <w:left w:sz="2" w:val="single" w:color="D9E2EC"/>
              <w:bottom w:sz="2" w:val="single" w:color="D9E2EC"/>
              <w:right w:sz="2" w:val="single" w:color="D9E2EC"/>
            </w:tcBorders>
          </w:tcPr>
          <w:p>
            <w:pPr>
              <w:spacing w:after="0" w:line="252" w:lineRule="auto"/>
              <w:jc w:val="left"/>
            </w:pPr>
            <w:r/>
            <w:r>
              <w:rPr>
                <w:b w:val="0"/>
                <w:sz w:val="16"/>
              </w:rPr>
              <w:t>Decision replay shows evidence state, reviewer identity, conditions, overrides, MRV influence, and export posture.</w:t>
            </w:r>
          </w:p>
        </w:tc>
      </w:tr>
    </w:tbl>
    <w:p>
      <w:pPr>
        <w:spacing w:after="20"/>
      </w:pPr>
    </w:p>
    <w:p>
      <w:pPr>
        <w:pStyle w:val="Heading2"/>
        <w:spacing w:before="140" w:after="60"/>
      </w:pPr>
      <w:r>
        <w:t>6.2 Minimum diligence artefacts</w:t>
      </w:r>
    </w:p>
    <w:p>
      <w:pPr>
        <w:pStyle w:val="BodyText"/>
        <w:spacing w:after="90"/>
      </w:pPr>
      <w:r>
        <w:t>For a deployment-specific assurance review, the following artefacts should be assembled before a donor, DFI, sovereign authority, or external auditor is invited to review the deployment:</w:t>
      </w:r>
    </w:p>
    <w:p>
      <w:pPr>
        <w:pStyle w:val="ListBullet"/>
        <w:spacing w:after="50"/>
        <w:ind w:left="259"/>
      </w:pPr>
      <w:r>
        <w:t>Deployment configuration record covering hosting, residency, retention, export, and failover posture.</w:t>
      </w:r>
    </w:p>
    <w:p>
      <w:pPr>
        <w:pStyle w:val="ListBullet"/>
        <w:spacing w:after="50"/>
        <w:ind w:left="259"/>
      </w:pPr>
      <w:r>
        <w:t>Role and access matrix covering reviewers, senior reviewers, escalation authorities, institutional administrators, auditors, and external reviewers.</w:t>
      </w:r>
    </w:p>
    <w:p>
      <w:pPr>
        <w:pStyle w:val="ListBullet"/>
        <w:spacing w:after="50"/>
        <w:ind w:left="259"/>
      </w:pPr>
      <w:r>
        <w:t>RLS policy evidence and access tests demonstrating programme isolation and role-based visibility.</w:t>
      </w:r>
    </w:p>
    <w:p>
      <w:pPr>
        <w:pStyle w:val="ListBullet"/>
        <w:spacing w:after="50"/>
        <w:ind w:left="259"/>
      </w:pPr>
      <w:r>
        <w:t>Audit schema map with sample reconstruction records for an approval, escalation, override, export, and MRV-linked decision.</w:t>
      </w:r>
    </w:p>
    <w:p>
      <w:pPr>
        <w:pStyle w:val="ListBullet"/>
        <w:spacing w:after="50"/>
        <w:ind w:left="259"/>
      </w:pPr>
      <w:r>
        <w:t>MRV attachment map showing methodology documents, artefact metadata, thresholds, and decision-linking rules.</w:t>
      </w:r>
    </w:p>
    <w:p>
      <w:pPr>
        <w:pStyle w:val="ListBullet"/>
        <w:spacing w:after="50"/>
        <w:ind w:left="259"/>
      </w:pPr>
      <w:r>
        <w:t>Deployment architecture diagram showing tenancy, storage, authentication, audit, integration, and export boundaries.</w:t>
      </w:r>
    </w:p>
    <w:p>
      <w:pPr>
        <w:pStyle w:val="ListBullet"/>
        <w:spacing w:after="50"/>
        <w:ind w:left="259"/>
      </w:pPr>
      <w:r>
        <w:t>Export control policy and export log sample, including reviewer attribution and recipient/scope records.</w:t>
      </w:r>
    </w:p>
    <w:p>
      <w:pPr>
        <w:pStyle w:val="ListBullet"/>
        <w:spacing w:after="50"/>
        <w:ind w:left="259"/>
      </w:pPr>
      <w:r>
        <w:t>Retention and deletion policy aligned to jurisdictional and programme obligations.</w:t>
      </w:r>
    </w:p>
    <w:p>
      <w:pPr>
        <w:pStyle w:val="Heading2"/>
        <w:spacing w:before="140" w:after="60"/>
      </w:pPr>
      <w:r>
        <w:t>6.3 Committee-ready conclusion</w:t>
      </w:r>
    </w:p>
    <w:p>
      <w:pPr>
        <w:pStyle w:val="BodyText"/>
        <w:spacing w:after="90"/>
      </w:pPr>
      <w:r>
        <w:t>When implemented with deployment-specific configuration evidence, this annex pack supports a committee-ready assurance posture: reviewer actions are identity-bound; evidence and MRV artefacts preserve lineage; routing and conditions are governed; privileged access is limited; exports are controlled; audit records are reconstructable; and each institutional deployment remains isolated by design.</w:t>
      </w:r>
    </w:p>
    <w:tbl>
      <w:tblPr>
        <w:tblW w:type="auto" w:w="0"/>
        <w:jc w:val="center"/>
        <w:tblLayout w:type="autofit"/>
        <w:tblLook w:firstColumn="1" w:firstRow="1" w:lastColumn="0" w:lastRow="0" w:noHBand="0" w:noVBand="1" w:val="04A0"/>
      </w:tblPr>
      <w:tblGrid>
        <w:gridCol w:w="9835"/>
      </w:tblGrid>
      <w:tr>
        <w:tc>
          <w:tcPr>
            <w:tcW w:type="dxa" w:w="9835"/>
            <w:shd w:fill="EAF2F8"/>
            <w:tcBorders>
              <w:top w:sz="8" w:val="single" w:color="243B53"/>
              <w:left w:sz="8" w:val="single" w:color="243B53"/>
              <w:bottom w:sz="8" w:val="single" w:color="243B53"/>
              <w:right w:sz="8" w:val="single" w:color="243B53"/>
            </w:tcBorders>
            <w:vAlign w:val="center"/>
          </w:tcPr>
          <w:p>
            <w:pPr>
              <w:spacing w:after="60"/>
            </w:pPr>
            <w:r>
              <w:rPr>
                <w:b/>
                <w:color w:val="243B53"/>
                <w:sz w:val="20"/>
              </w:rPr>
              <w:t>Final assurance position</w:t>
            </w:r>
          </w:p>
          <w:p>
            <w:pPr>
              <w:spacing w:after="0"/>
            </w:pPr>
            <w:r>
              <w:rPr>
                <w:color w:val="273442"/>
                <w:sz w:val="18"/>
              </w:rPr>
              <w:t>The Terra Vita Hub governance spine is strongest when these annexes are treated as a single operating control set rather than separate documents. The institutional assurance question is not only whether a control exists, but whether identity, evidence, routing, MRV, audit, residency, and deployment isolation remain connected throughout the full decision chain.</w:t>
            </w:r>
          </w:p>
        </w:tc>
      </w:tr>
    </w:tbl>
    <w:p>
      <w:pPr>
        <w:spacing w:after="0"/>
      </w:pPr>
    </w:p>
    <w:sectPr>
      <w:headerReference w:type="default" r:id="rId16"/>
      <w:footerReference w:type="default" r:id="rId17"/>
      <w:pgSz w:w="11909" w:h="16834"/>
      <w:pgMar w:top="936" w:right="1037" w:bottom="936" w:left="1037" w:header="504" w:footer="50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color w:val="5E6C7A"/>
        <w:sz w:val="15"/>
      </w:rPr>
      <w:t xml:space="preserve">Institutional assurance draft | Confidential when populated with deployment data | Page </w:t>
    </w:r>
    <w:r>
      <w:fldChar w:fldCharType="begin"/>
      <w:instrText xml:space="preserve">PAGE</w:instrTex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color w:val="5E6C7A"/>
        <w:sz w:val="15"/>
      </w:rPr>
      <w:t xml:space="preserve">Institutional assurance draft | Confidential when populated with deployment data | Page </w:t>
    </w:r>
    <w:r>
      <w:fldChar w:fldCharType="begin"/>
      <w:instrText xml:space="preserve">PAGE</w:instrText>
      <w:fldChar w:fldCharType="end"/>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color w:val="5E6C7A"/>
        <w:sz w:val="15"/>
      </w:rPr>
      <w:t xml:space="preserve">Institutional assurance draft | Confidential when populated with deployment data | Page </w:t>
    </w:r>
    <w:r>
      <w:fldChar w:fldCharType="begin"/>
      <w:instrText xml:space="preserve">PAGE</w:instrText>
      <w:fldChar w:fldCharType="end"/>
    </w:r>
  </w:p>
</w:ftr>
</file>

<file path=word/footer4.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color w:val="5E6C7A"/>
        <w:sz w:val="15"/>
      </w:rPr>
      <w:t xml:space="preserve">Institutional assurance draft | Confidential when populated with deployment data | Page </w:t>
    </w:r>
    <w:r>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Aptos" w:hAnsi="Aptos"/>
        <w:color w:val="5E6C7A"/>
        <w:sz w:val="16"/>
      </w:rPr>
      <w:t>Terra Vita Hub | Governance Spine &amp; Assurance Annexes</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Aptos" w:hAnsi="Aptos"/>
        <w:color w:val="5E6C7A"/>
        <w:sz w:val="16"/>
      </w:rPr>
      <w:t>Terra Vita Hub | Governance Spine &amp; Assurance Annexes</w: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Aptos" w:hAnsi="Aptos"/>
        <w:color w:val="5E6C7A"/>
        <w:sz w:val="16"/>
      </w:rPr>
      <w:t>Terra Vita Hub | Governance Spine &amp; Assurance Annexes</w:t>
    </w:r>
  </w:p>
</w:hdr>
</file>

<file path=word/head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Aptos" w:hAnsi="Aptos"/>
        <w:color w:val="5E6C7A"/>
        <w:sz w:val="16"/>
      </w:rPr>
      <w:t>Terra Vita Hub | Governance Spine &amp; Assurance Annexes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259" w:lineRule="auto" w:after="90"/>
    </w:pPr>
    <w:rPr>
      <w:rFonts w:ascii="Aptos" w:hAnsi="Aptos"/>
      <w:color w:val="222D3A"/>
      <w:sz w:val="18"/>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b/>
      <w:bCs/>
      <w:color w:val="192B3C"/>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b/>
      <w:bCs/>
      <w:color w:val="192B3C"/>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b/>
      <w:bCs/>
      <w:color w:val="192B3C"/>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90" w:line="259" w:lineRule="auto"/>
    </w:pPr>
    <w:rPr>
      <w:rFonts w:ascii="Aptos" w:hAnsi="Aptos"/>
      <w:color w:val="222D3A"/>
      <w:sz w:val="18"/>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Aptos" w:hAnsi="Aptos"/>
      <w:sz w:val="18"/>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rPr>
      <w:rFonts w:ascii="Aptos" w:hAnsi="Aptos"/>
      <w:sz w:val="18"/>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generated by python-docx</dc:description>
  <cp:lastModifiedBy/>
  <cp:revision>1</cp:revision>
  <dcterms:created xsi:type="dcterms:W3CDTF">2013-12-23T23:15:00Z</dcterms:created>
  <dcterms:modified xsi:type="dcterms:W3CDTF">2013-12-23T23:15:00Z</dcterms:modified>
  <cp:category/>
</cp:coreProperties>
</file>